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r w:rsidR="00800827">
        <w:rPr>
          <w:rFonts w:ascii="Arial" w:hAnsi="Arial"/>
        </w:rPr>
        <w:t xml:space="preserve">Ellrich, den </w:t>
      </w:r>
      <w:r w:rsidR="00526747">
        <w:rPr>
          <w:rFonts w:ascii="Arial" w:hAnsi="Arial"/>
        </w:rPr>
        <w:t>19.11.2018</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00827">
        <w:rPr>
          <w:rFonts w:ascii="Arial" w:hAnsi="Arial"/>
          <w:b/>
          <w:sz w:val="40"/>
        </w:rPr>
        <w:t xml:space="preserve"> </w:t>
      </w:r>
      <w:r w:rsidR="00526747">
        <w:rPr>
          <w:rFonts w:ascii="Arial" w:hAnsi="Arial"/>
          <w:b/>
          <w:sz w:val="40"/>
          <w:szCs w:val="40"/>
        </w:rPr>
        <w:t>295-14/19</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800827" w:rsidRDefault="00800827" w:rsidP="002B13E9">
      <w:pPr>
        <w:rPr>
          <w:rFonts w:ascii="Arial" w:hAnsi="Arial"/>
          <w:sz w:val="22"/>
        </w:rPr>
      </w:pPr>
    </w:p>
    <w:p w:rsidR="00800827" w:rsidRDefault="00800827"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Pr="00D27A78" w:rsidRDefault="00011C1C" w:rsidP="000176B5">
            <w:pPr>
              <w:rPr>
                <w:rFonts w:ascii="Arial" w:hAnsi="Arial"/>
                <w:sz w:val="22"/>
                <w:szCs w:val="22"/>
              </w:rPr>
            </w:pPr>
            <w:r>
              <w:rPr>
                <w:rFonts w:ascii="Arial" w:hAnsi="Arial"/>
                <w:sz w:val="22"/>
                <w:szCs w:val="22"/>
              </w:rPr>
              <w:t xml:space="preserve">Grundsatzbeschluss zur Positionierung des Stadtrates </w:t>
            </w:r>
            <w:r w:rsidR="000176B5">
              <w:rPr>
                <w:rFonts w:ascii="Arial" w:hAnsi="Arial"/>
                <w:sz w:val="22"/>
                <w:szCs w:val="22"/>
              </w:rPr>
              <w:t>im</w:t>
            </w:r>
            <w:r w:rsidR="00905648">
              <w:rPr>
                <w:rFonts w:ascii="Arial" w:hAnsi="Arial"/>
                <w:sz w:val="22"/>
                <w:szCs w:val="22"/>
              </w:rPr>
              <w:t xml:space="preserve"> </w:t>
            </w:r>
            <w:r w:rsidR="000176B5">
              <w:rPr>
                <w:rFonts w:ascii="Arial" w:hAnsi="Arial"/>
                <w:sz w:val="22"/>
                <w:szCs w:val="22"/>
              </w:rPr>
              <w:t>Moderationsprozess zur</w:t>
            </w:r>
            <w:r>
              <w:rPr>
                <w:rFonts w:ascii="Arial" w:hAnsi="Arial"/>
                <w:sz w:val="22"/>
                <w:szCs w:val="22"/>
              </w:rPr>
              <w:t xml:space="preserve"> Ausweisung eines Biosphärenreservates „Südharz/Kyffhäuser“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BB4C26" w:rsidRDefault="00D27A78" w:rsidP="00DB04FE">
            <w:pPr>
              <w:jc w:val="both"/>
              <w:rPr>
                <w:rFonts w:ascii="Arial" w:hAnsi="Arial"/>
                <w:sz w:val="22"/>
              </w:rPr>
            </w:pPr>
            <w:r>
              <w:rPr>
                <w:rFonts w:ascii="Arial" w:hAnsi="Arial"/>
                <w:sz w:val="22"/>
              </w:rPr>
              <w:t>Der Stadtrat der Stadt El</w:t>
            </w:r>
            <w:r w:rsidR="00EF77E1">
              <w:rPr>
                <w:rFonts w:ascii="Arial" w:hAnsi="Arial"/>
                <w:sz w:val="22"/>
              </w:rPr>
              <w:t xml:space="preserve">lrich beschließt </w:t>
            </w:r>
            <w:r w:rsidR="00B667EE">
              <w:rPr>
                <w:rFonts w:ascii="Arial" w:hAnsi="Arial"/>
                <w:sz w:val="22"/>
              </w:rPr>
              <w:t xml:space="preserve">die </w:t>
            </w:r>
            <w:r w:rsidR="00A225C2">
              <w:rPr>
                <w:rFonts w:ascii="Arial" w:hAnsi="Arial"/>
                <w:sz w:val="22"/>
              </w:rPr>
              <w:t>weiterführende Einbringung der</w:t>
            </w:r>
            <w:r w:rsidR="000176B5">
              <w:rPr>
                <w:rFonts w:ascii="Arial" w:hAnsi="Arial"/>
                <w:sz w:val="22"/>
              </w:rPr>
              <w:t xml:space="preserve"> Einheitsgemeinde Ellrich in den Prozess zur Ausweisung eines Biosphärenreservats „Südharz/Kyffhäuser</w:t>
            </w:r>
            <w:r w:rsidR="00E81AE0">
              <w:rPr>
                <w:rFonts w:ascii="Arial" w:hAnsi="Arial"/>
                <w:sz w:val="22"/>
              </w:rPr>
              <w:t>“</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proofErr w:type="spellStart"/>
            <w:r>
              <w:rPr>
                <w:rFonts w:ascii="Arial" w:hAnsi="Arial"/>
                <w:sz w:val="22"/>
              </w:rPr>
              <w:t>ThürKO</w:t>
            </w:r>
            <w:proofErr w:type="spellEnd"/>
            <w:r>
              <w:rPr>
                <w:rFonts w:ascii="Arial" w:hAnsi="Arial"/>
                <w:sz w:val="22"/>
              </w:rPr>
              <w:t xml:space="preserve"> vom 28.01.2003</w:t>
            </w:r>
            <w:r w:rsidR="002933B4">
              <w:rPr>
                <w:rFonts w:ascii="Arial" w:hAnsi="Arial"/>
                <w:sz w:val="22"/>
              </w:rPr>
              <w:t xml:space="preserve"> in der jeweils gültigen Fassung</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261A16" w:rsidP="00E17D01">
            <w:pPr>
              <w:rPr>
                <w:rFonts w:ascii="Arial" w:hAnsi="Arial"/>
                <w:sz w:val="22"/>
              </w:rPr>
            </w:pPr>
            <w:r>
              <w:rPr>
                <w:rFonts w:ascii="Arial" w:hAnsi="Arial"/>
                <w:sz w:val="22"/>
              </w:rPr>
              <w:t>Bauausschuss:</w:t>
            </w:r>
            <w:r w:rsidR="00E81AE0">
              <w:rPr>
                <w:rFonts w:ascii="Arial" w:hAnsi="Arial"/>
                <w:sz w:val="22"/>
              </w:rPr>
              <w:t xml:space="preserve">    </w:t>
            </w:r>
            <w:bookmarkStart w:id="0" w:name="_GoBack"/>
            <w:bookmarkEnd w:id="0"/>
            <w:r w:rsidR="00E81AE0">
              <w:rPr>
                <w:rFonts w:ascii="Arial" w:hAnsi="Arial"/>
                <w:sz w:val="22"/>
              </w:rPr>
              <w:t>03.12.2018</w:t>
            </w:r>
          </w:p>
          <w:p w:rsidR="00261A16" w:rsidRDefault="00261A16" w:rsidP="00E17D01">
            <w:pPr>
              <w:rPr>
                <w:rFonts w:ascii="Arial" w:hAnsi="Arial"/>
                <w:sz w:val="22"/>
              </w:rPr>
            </w:pPr>
            <w:r>
              <w:rPr>
                <w:rFonts w:ascii="Arial" w:hAnsi="Arial"/>
                <w:sz w:val="22"/>
              </w:rPr>
              <w:t>Hauptausschuss: 26.11.2018</w:t>
            </w: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FA4F3C">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261A16" w:rsidRPr="00261A16" w:rsidRDefault="000176B5" w:rsidP="002B13E9">
            <w:pPr>
              <w:rPr>
                <w:rFonts w:ascii="Arial" w:hAnsi="Arial"/>
                <w:sz w:val="22"/>
                <w:szCs w:val="22"/>
              </w:rPr>
            </w:pPr>
            <w:r>
              <w:rPr>
                <w:rFonts w:ascii="Arial" w:hAnsi="Arial"/>
                <w:sz w:val="22"/>
                <w:szCs w:val="22"/>
              </w:rPr>
              <w:t>Keine</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Pr>
          <w:rFonts w:ascii="Arial" w:hAnsi="Arial" w:cs="Arial"/>
        </w:rPr>
        <w:t>…….</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t>…….</w:t>
      </w:r>
      <w:r w:rsidR="00800827">
        <w:rPr>
          <w:rFonts w:ascii="Arial" w:hAnsi="Arial" w:cs="Arial"/>
        </w:rPr>
        <w:tab/>
      </w:r>
      <w:r>
        <w:rPr>
          <w:rFonts w:ascii="Arial" w:hAnsi="Arial" w:cs="Arial"/>
        </w:rPr>
        <w:t>Nein – Stimmen:</w:t>
      </w:r>
      <w:r w:rsidR="00800827">
        <w:rPr>
          <w:rFonts w:ascii="Arial" w:hAnsi="Arial" w:cs="Arial"/>
        </w:rPr>
        <w:tab/>
        <w:t>…….</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Pr>
          <w:rFonts w:ascii="Arial" w:hAnsi="Arial" w:cs="Arial"/>
        </w:rPr>
        <w:t>…….</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Folgende Mitglieder waren nach § 38 ThürKO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151D79" w:rsidP="002B13E9">
      <w:pPr>
        <w:outlineLvl w:val="0"/>
        <w:rPr>
          <w:rFonts w:ascii="Arial" w:hAnsi="Arial" w:cs="Arial"/>
        </w:rPr>
      </w:pPr>
      <w:r>
        <w:rPr>
          <w:rFonts w:ascii="Arial" w:hAnsi="Arial" w:cs="Arial"/>
        </w:rPr>
        <w:t>Henry Pasenow</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F111C7" w:rsidRDefault="00F111C7"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526747">
        <w:rPr>
          <w:rFonts w:ascii="Arial" w:hAnsi="Arial"/>
          <w:b/>
          <w:sz w:val="40"/>
          <w:szCs w:val="40"/>
        </w:rPr>
        <w:t>295-14/19</w:t>
      </w:r>
      <w:r w:rsidR="00526747">
        <w:rPr>
          <w:rFonts w:ascii="Arial" w:hAnsi="Arial"/>
          <w:sz w:val="24"/>
        </w:rPr>
        <w:t xml:space="preserve">                       </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B13E9" w:rsidRPr="00BB4C26" w:rsidRDefault="002B13E9" w:rsidP="002B13E9">
      <w:pPr>
        <w:rPr>
          <w:rFonts w:ascii="Arial" w:hAnsi="Arial" w:cs="Arial"/>
          <w:b/>
          <w:sz w:val="22"/>
          <w:szCs w:val="22"/>
        </w:rPr>
      </w:pPr>
    </w:p>
    <w:p w:rsidR="00181DFD" w:rsidRDefault="000176B5" w:rsidP="002B13E9">
      <w:pPr>
        <w:rPr>
          <w:rFonts w:ascii="Arial" w:hAnsi="Arial" w:cs="Arial"/>
          <w:sz w:val="22"/>
          <w:szCs w:val="22"/>
        </w:rPr>
      </w:pPr>
      <w:r>
        <w:rPr>
          <w:rFonts w:ascii="Arial" w:hAnsi="Arial"/>
          <w:sz w:val="22"/>
        </w:rPr>
        <w:t>Der Stadtrat der Stadt Ellrich beschließt die weiterführende Einbringung der Einheitsgemeinde Ellrich in den Prozess zur Ausweisung eines Biosphärenreservats „Südharz/Kyffhäuser“.</w:t>
      </w:r>
    </w:p>
    <w:p w:rsidR="00E52CA6" w:rsidRDefault="00E52CA6" w:rsidP="002B13E9">
      <w:pPr>
        <w:rPr>
          <w:rFonts w:ascii="Arial" w:hAnsi="Arial" w:cs="Arial"/>
          <w:sz w:val="22"/>
          <w:szCs w:val="22"/>
        </w:rPr>
      </w:pPr>
    </w:p>
    <w:p w:rsidR="00E52CA6" w:rsidRDefault="00E52CA6" w:rsidP="002B13E9">
      <w:pPr>
        <w:rPr>
          <w:rFonts w:ascii="Arial" w:hAnsi="Arial" w:cs="Arial"/>
          <w:sz w:val="22"/>
          <w:szCs w:val="22"/>
        </w:rPr>
      </w:pPr>
    </w:p>
    <w:p w:rsidR="00E52CA6" w:rsidRPr="008A2385" w:rsidRDefault="00E52CA6" w:rsidP="002B13E9">
      <w:pPr>
        <w:rPr>
          <w:rFonts w:ascii="Arial" w:hAnsi="Arial" w:cs="Arial"/>
          <w:sz w:val="22"/>
          <w:szCs w:val="22"/>
        </w:rPr>
      </w:pPr>
    </w:p>
    <w:p w:rsidR="002B13E9" w:rsidRPr="008A2385" w:rsidRDefault="002B13E9" w:rsidP="00800827">
      <w:pPr>
        <w:outlineLvl w:val="0"/>
        <w:rPr>
          <w:rFonts w:ascii="Arial" w:hAnsi="Arial" w:cs="Arial"/>
          <w:sz w:val="10"/>
          <w:szCs w:val="10"/>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BC0810" w:rsidRDefault="000176B5" w:rsidP="002B13E9">
      <w:pPr>
        <w:jc w:val="both"/>
        <w:rPr>
          <w:rFonts w:ascii="Arial" w:hAnsi="Arial" w:cs="Arial"/>
          <w:sz w:val="22"/>
          <w:szCs w:val="22"/>
        </w:rPr>
      </w:pPr>
      <w:r>
        <w:rPr>
          <w:rFonts w:ascii="Arial" w:hAnsi="Arial" w:cs="Arial"/>
          <w:sz w:val="22"/>
          <w:szCs w:val="22"/>
        </w:rPr>
        <w:t xml:space="preserve">Der moderierte Diskussionsprozess zur Ausweisung eines Biosphärenreservats „Südharz/Kyffhäuser“ </w:t>
      </w:r>
      <w:r w:rsidR="00BC0810">
        <w:rPr>
          <w:rFonts w:ascii="Arial" w:hAnsi="Arial" w:cs="Arial"/>
          <w:sz w:val="22"/>
          <w:szCs w:val="22"/>
        </w:rPr>
        <w:t xml:space="preserve">nach UNESCO-Kriterien </w:t>
      </w:r>
      <w:r>
        <w:rPr>
          <w:rFonts w:ascii="Arial" w:hAnsi="Arial" w:cs="Arial"/>
          <w:sz w:val="22"/>
          <w:szCs w:val="22"/>
        </w:rPr>
        <w:t xml:space="preserve">dient dazu, </w:t>
      </w:r>
      <w:r w:rsidR="00BC0810">
        <w:rPr>
          <w:rFonts w:ascii="Arial" w:hAnsi="Arial" w:cs="Arial"/>
          <w:sz w:val="22"/>
          <w:szCs w:val="22"/>
        </w:rPr>
        <w:t xml:space="preserve">die Position der innerhalb des vom Thüringer Ministeriums für Umwelt, Energie und Naturschutz festgelegten „Suchraums“ (Anlage) lebenden Bürgerinnen und Bürgern sowie regionaler Akteure </w:t>
      </w:r>
      <w:r w:rsidR="006C1355">
        <w:rPr>
          <w:rFonts w:ascii="Arial" w:hAnsi="Arial" w:cs="Arial"/>
          <w:sz w:val="22"/>
          <w:szCs w:val="22"/>
        </w:rPr>
        <w:t>zur Ausweisung eines Biosphärenreservats zu erfahren</w:t>
      </w:r>
      <w:r w:rsidR="00BC0810">
        <w:rPr>
          <w:rFonts w:ascii="Arial" w:hAnsi="Arial" w:cs="Arial"/>
          <w:sz w:val="22"/>
          <w:szCs w:val="22"/>
        </w:rPr>
        <w:t>.</w:t>
      </w:r>
    </w:p>
    <w:p w:rsidR="006C1355" w:rsidRDefault="006C1355" w:rsidP="002B13E9">
      <w:pPr>
        <w:jc w:val="both"/>
        <w:rPr>
          <w:rFonts w:ascii="Arial" w:hAnsi="Arial" w:cs="Arial"/>
          <w:sz w:val="22"/>
          <w:szCs w:val="22"/>
        </w:rPr>
      </w:pPr>
    </w:p>
    <w:p w:rsidR="00656588" w:rsidRDefault="00BC0810" w:rsidP="002B13E9">
      <w:pPr>
        <w:jc w:val="both"/>
        <w:rPr>
          <w:rFonts w:ascii="Arial" w:hAnsi="Arial" w:cs="Arial"/>
          <w:sz w:val="22"/>
          <w:szCs w:val="22"/>
        </w:rPr>
      </w:pPr>
      <w:r>
        <w:rPr>
          <w:rFonts w:ascii="Arial" w:hAnsi="Arial" w:cs="Arial"/>
          <w:sz w:val="22"/>
          <w:szCs w:val="22"/>
        </w:rPr>
        <w:t xml:space="preserve">Ein Biosphärenreservat wird untergliedert in drei Zonen: Kernzone, Pflegezone, Entwicklungszone. </w:t>
      </w:r>
      <w:r w:rsidR="001D5010">
        <w:rPr>
          <w:rFonts w:ascii="Arial" w:hAnsi="Arial" w:cs="Arial"/>
          <w:sz w:val="22"/>
          <w:szCs w:val="22"/>
        </w:rPr>
        <w:t xml:space="preserve">Diese Zonen stellen die kartographische Grundlage dar innerhalb der eine zu erlassene </w:t>
      </w:r>
      <w:proofErr w:type="spellStart"/>
      <w:r w:rsidR="001D5010">
        <w:rPr>
          <w:rFonts w:ascii="Arial" w:hAnsi="Arial" w:cs="Arial"/>
          <w:sz w:val="22"/>
          <w:szCs w:val="22"/>
        </w:rPr>
        <w:t>Biosphärenreservatsverordnung</w:t>
      </w:r>
      <w:proofErr w:type="spellEnd"/>
      <w:r w:rsidR="001D5010">
        <w:rPr>
          <w:rFonts w:ascii="Arial" w:hAnsi="Arial" w:cs="Arial"/>
          <w:sz w:val="22"/>
          <w:szCs w:val="22"/>
        </w:rPr>
        <w:t xml:space="preserve"> sämtliche Nutzungen sowie </w:t>
      </w:r>
      <w:proofErr w:type="spellStart"/>
      <w:r w:rsidR="001D5010">
        <w:rPr>
          <w:rFonts w:ascii="Arial" w:hAnsi="Arial" w:cs="Arial"/>
          <w:sz w:val="22"/>
          <w:szCs w:val="22"/>
        </w:rPr>
        <w:t>Ge</w:t>
      </w:r>
      <w:proofErr w:type="spellEnd"/>
      <w:r w:rsidR="001D5010">
        <w:rPr>
          <w:rFonts w:ascii="Arial" w:hAnsi="Arial" w:cs="Arial"/>
          <w:sz w:val="22"/>
          <w:szCs w:val="22"/>
        </w:rPr>
        <w:t xml:space="preserve">- und Verbote regelt. </w:t>
      </w:r>
      <w:r>
        <w:rPr>
          <w:rFonts w:ascii="Arial" w:hAnsi="Arial" w:cs="Arial"/>
          <w:sz w:val="22"/>
          <w:szCs w:val="22"/>
        </w:rPr>
        <w:t xml:space="preserve">Auf mindestens 20 % der Gesamtfläche sind Nutzungsbeschränkungen erforderlich. </w:t>
      </w:r>
      <w:r w:rsidR="00E1619C">
        <w:rPr>
          <w:rFonts w:ascii="Arial" w:hAnsi="Arial" w:cs="Arial"/>
          <w:sz w:val="22"/>
          <w:szCs w:val="22"/>
        </w:rPr>
        <w:t xml:space="preserve"> Diese Restriktionsfläche beinhaltet eine oder mehrere </w:t>
      </w:r>
      <w:r w:rsidR="00E1619C" w:rsidRPr="001D5010">
        <w:rPr>
          <w:rFonts w:ascii="Arial" w:hAnsi="Arial" w:cs="Arial"/>
          <w:b/>
          <w:sz w:val="22"/>
          <w:szCs w:val="22"/>
        </w:rPr>
        <w:t>Kernzonen</w:t>
      </w:r>
      <w:r w:rsidR="00E1619C">
        <w:rPr>
          <w:rFonts w:ascii="Arial" w:hAnsi="Arial" w:cs="Arial"/>
          <w:sz w:val="22"/>
          <w:szCs w:val="22"/>
        </w:rPr>
        <w:t xml:space="preserve"> mit </w:t>
      </w:r>
      <w:r w:rsidR="001D5010">
        <w:rPr>
          <w:rFonts w:ascii="Arial" w:hAnsi="Arial" w:cs="Arial"/>
          <w:sz w:val="22"/>
          <w:szCs w:val="22"/>
        </w:rPr>
        <w:t xml:space="preserve">einem Anteil von </w:t>
      </w:r>
      <w:r w:rsidR="00E1619C">
        <w:rPr>
          <w:rFonts w:ascii="Arial" w:hAnsi="Arial" w:cs="Arial"/>
          <w:sz w:val="22"/>
          <w:szCs w:val="22"/>
        </w:rPr>
        <w:t xml:space="preserve">mindestens 3 % der Gesamtfläche. Innerhalb der Kernzonen wird vollständig auf forstwirtschaftliche Nutzung verzichtet. Ein Betreten ist in der Regel nur für Forschung, Messung und Bildung gestattet. Die Kernzonen sollen idealerweise von einer </w:t>
      </w:r>
      <w:r w:rsidR="00E1619C" w:rsidRPr="00DB04FE">
        <w:rPr>
          <w:rFonts w:ascii="Arial" w:hAnsi="Arial" w:cs="Arial"/>
          <w:b/>
          <w:sz w:val="22"/>
          <w:szCs w:val="22"/>
        </w:rPr>
        <w:t>Pflegezone</w:t>
      </w:r>
      <w:r w:rsidR="00E1619C">
        <w:rPr>
          <w:rFonts w:ascii="Arial" w:hAnsi="Arial" w:cs="Arial"/>
          <w:sz w:val="22"/>
          <w:szCs w:val="22"/>
        </w:rPr>
        <w:t xml:space="preserve"> umgeben sein. Hier sind ökologisch verträgliche Aktivitäten zugelassen (sanfter Tourismus, forstliche Nutzung unter Achtung der guten fachlichen Praxis und extensive Landwirtschaft). Die </w:t>
      </w:r>
      <w:r w:rsidR="00E1619C" w:rsidRPr="00DB04FE">
        <w:rPr>
          <w:rFonts w:ascii="Arial" w:hAnsi="Arial" w:cs="Arial"/>
          <w:b/>
          <w:sz w:val="22"/>
          <w:szCs w:val="22"/>
        </w:rPr>
        <w:t xml:space="preserve">Entwicklungszone </w:t>
      </w:r>
      <w:r w:rsidR="006C1355">
        <w:rPr>
          <w:rFonts w:ascii="Arial" w:hAnsi="Arial" w:cs="Arial"/>
          <w:sz w:val="22"/>
          <w:szCs w:val="22"/>
        </w:rPr>
        <w:t>stellt den größten Flächenanteil (maximal 80 %) der Gesamtfläche dar. Unter Achtung der guten fachlichen Praxis sind hier land- und forstwirtschaftliche Nutzungen möglich. Hier soll Raum für Modellprojekte sein, in denen sich freiwillig verpflichtet werden kann, besondere Leistungen für Natur und Landschaft zu erbringen oder auf bestimmte Nutzungsformen zu verzichten.</w:t>
      </w:r>
    </w:p>
    <w:p w:rsidR="00656588" w:rsidRDefault="00656588" w:rsidP="002B13E9">
      <w:pPr>
        <w:jc w:val="both"/>
        <w:rPr>
          <w:rFonts w:ascii="Arial" w:hAnsi="Arial" w:cs="Arial"/>
          <w:sz w:val="22"/>
          <w:szCs w:val="22"/>
        </w:rPr>
      </w:pPr>
    </w:p>
    <w:p w:rsidR="0029540F" w:rsidRDefault="00E32163" w:rsidP="002B13E9">
      <w:pPr>
        <w:jc w:val="both"/>
        <w:rPr>
          <w:rFonts w:ascii="Arial" w:hAnsi="Arial" w:cs="Arial"/>
          <w:sz w:val="22"/>
          <w:szCs w:val="22"/>
        </w:rPr>
      </w:pPr>
      <w:r>
        <w:rPr>
          <w:rFonts w:ascii="Arial" w:hAnsi="Arial" w:cs="Arial"/>
          <w:sz w:val="22"/>
          <w:szCs w:val="22"/>
        </w:rPr>
        <w:t xml:space="preserve">Es </w:t>
      </w:r>
      <w:r w:rsidR="00656588">
        <w:rPr>
          <w:rFonts w:ascii="Arial" w:hAnsi="Arial" w:cs="Arial"/>
          <w:sz w:val="22"/>
          <w:szCs w:val="22"/>
        </w:rPr>
        <w:t xml:space="preserve">liegt </w:t>
      </w:r>
      <w:r w:rsidR="00DB04FE">
        <w:rPr>
          <w:rFonts w:ascii="Arial" w:hAnsi="Arial" w:cs="Arial"/>
          <w:sz w:val="22"/>
          <w:szCs w:val="22"/>
        </w:rPr>
        <w:t xml:space="preserve">derzeit </w:t>
      </w:r>
      <w:r w:rsidR="00656588">
        <w:rPr>
          <w:rFonts w:ascii="Arial" w:hAnsi="Arial" w:cs="Arial"/>
          <w:sz w:val="22"/>
          <w:szCs w:val="22"/>
        </w:rPr>
        <w:t>keine verbindliche Information zur Lage der geplanten Zonierung innerhalb des „Suchraumes“ zum Biosphärenreservat „Südharz/Kyffhäuser“</w:t>
      </w:r>
      <w:r>
        <w:rPr>
          <w:rFonts w:ascii="Arial" w:hAnsi="Arial" w:cs="Arial"/>
          <w:sz w:val="22"/>
          <w:szCs w:val="22"/>
        </w:rPr>
        <w:t xml:space="preserve"> als Diskussionsgrundlage vor. Die in der </w:t>
      </w:r>
      <w:r w:rsidR="00551728">
        <w:rPr>
          <w:rFonts w:ascii="Arial" w:hAnsi="Arial" w:cs="Arial"/>
          <w:sz w:val="22"/>
          <w:szCs w:val="22"/>
        </w:rPr>
        <w:t>beigefügten Karte bezeichneten bestehenden Naturschutzgebiete Nr. 1, 191, 314, 313 sowie die prioritär auszuweisenden Naturschutzgebiete Nr. 189, 406, 405 sowie 474 befinden sich ganz oder teilweise im Hoheitsgebiet der Einheitsgemeinde Ellrich. Sie sollen die Funktion einer Pflegezone übernehmen. Der westlich der B4 liegende Teil des mit Nr. 1 bezeichneten Waldgebietes</w:t>
      </w:r>
      <w:r w:rsidR="00DB04FE">
        <w:rPr>
          <w:rFonts w:ascii="Arial" w:hAnsi="Arial" w:cs="Arial"/>
          <w:sz w:val="22"/>
          <w:szCs w:val="22"/>
        </w:rPr>
        <w:t xml:space="preserve"> befindet sich ebenfalls im Gemeindegebiet Ellrich und</w:t>
      </w:r>
      <w:r w:rsidR="00551728">
        <w:rPr>
          <w:rFonts w:ascii="Arial" w:hAnsi="Arial" w:cs="Arial"/>
          <w:sz w:val="22"/>
          <w:szCs w:val="22"/>
        </w:rPr>
        <w:t xml:space="preserve"> ist momentan von der forstlichen Nutzung ausgen</w:t>
      </w:r>
      <w:r w:rsidR="00DB04FE">
        <w:rPr>
          <w:rFonts w:ascii="Arial" w:hAnsi="Arial" w:cs="Arial"/>
          <w:sz w:val="22"/>
          <w:szCs w:val="22"/>
        </w:rPr>
        <w:t xml:space="preserve">ommen. Diese Fläche </w:t>
      </w:r>
      <w:r w:rsidR="001D5010">
        <w:rPr>
          <w:rFonts w:ascii="Arial" w:hAnsi="Arial" w:cs="Arial"/>
          <w:sz w:val="22"/>
          <w:szCs w:val="22"/>
        </w:rPr>
        <w:t>kann Teil einer</w:t>
      </w:r>
      <w:r w:rsidR="00551728">
        <w:rPr>
          <w:rFonts w:ascii="Arial" w:hAnsi="Arial" w:cs="Arial"/>
          <w:sz w:val="22"/>
          <w:szCs w:val="22"/>
        </w:rPr>
        <w:t xml:space="preserve"> Kern</w:t>
      </w:r>
      <w:r w:rsidR="001D5010">
        <w:rPr>
          <w:rFonts w:ascii="Arial" w:hAnsi="Arial" w:cs="Arial"/>
          <w:sz w:val="22"/>
          <w:szCs w:val="22"/>
        </w:rPr>
        <w:t>z</w:t>
      </w:r>
      <w:r w:rsidR="00551728">
        <w:rPr>
          <w:rFonts w:ascii="Arial" w:hAnsi="Arial" w:cs="Arial"/>
          <w:sz w:val="22"/>
          <w:szCs w:val="22"/>
        </w:rPr>
        <w:t>one sein.</w:t>
      </w:r>
      <w:r w:rsidR="00DB04FE">
        <w:rPr>
          <w:rFonts w:ascii="Arial" w:hAnsi="Arial" w:cs="Arial"/>
          <w:sz w:val="22"/>
          <w:szCs w:val="22"/>
        </w:rPr>
        <w:t xml:space="preserve"> Ein Entwurf einer Reservats Verordnung liegt momentan nicht vor.</w:t>
      </w:r>
    </w:p>
    <w:p w:rsidR="0029540F" w:rsidRDefault="0029540F" w:rsidP="002B13E9">
      <w:pPr>
        <w:jc w:val="both"/>
        <w:rPr>
          <w:rFonts w:ascii="Arial" w:hAnsi="Arial" w:cs="Arial"/>
          <w:sz w:val="22"/>
          <w:szCs w:val="22"/>
        </w:rPr>
      </w:pPr>
    </w:p>
    <w:p w:rsidR="00E52CA6" w:rsidRDefault="00DB04FE" w:rsidP="002B13E9">
      <w:pPr>
        <w:jc w:val="both"/>
        <w:rPr>
          <w:rFonts w:ascii="Arial" w:hAnsi="Arial" w:cs="Arial"/>
          <w:sz w:val="22"/>
          <w:szCs w:val="22"/>
        </w:rPr>
      </w:pPr>
      <w:r>
        <w:rPr>
          <w:rFonts w:ascii="Arial" w:hAnsi="Arial"/>
          <w:sz w:val="22"/>
        </w:rPr>
        <w:t>Auf Basis dieses Kenntnisstandes beschließt der Stadtrat der Stadt Ellrich die weiterführende Einbringung der Einheitsgemeinde Ellrich als Gebietskulisse in den Prozess zur Ausweisung eines Biosphärenreservats „Südharz/Kyffhäuser“.</w:t>
      </w: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151D79" w:rsidP="002B13E9">
      <w:pPr>
        <w:jc w:val="both"/>
        <w:rPr>
          <w:rFonts w:ascii="Arial" w:hAnsi="Arial" w:cs="Arial"/>
          <w:sz w:val="22"/>
          <w:szCs w:val="22"/>
        </w:rPr>
      </w:pPr>
      <w:r>
        <w:rPr>
          <w:rFonts w:ascii="Arial" w:hAnsi="Arial" w:cs="Arial"/>
          <w:sz w:val="22"/>
          <w:szCs w:val="22"/>
        </w:rPr>
        <w:t>Henry Pasenow</w:t>
      </w:r>
    </w:p>
    <w:p w:rsidR="0029540F" w:rsidRDefault="0029540F" w:rsidP="002B13E9">
      <w:pPr>
        <w:jc w:val="both"/>
        <w:rPr>
          <w:rFonts w:ascii="Arial" w:hAnsi="Arial" w:cs="Arial"/>
          <w:sz w:val="22"/>
          <w:szCs w:val="22"/>
        </w:rPr>
      </w:pPr>
      <w:r w:rsidRPr="00800827">
        <w:rPr>
          <w:rFonts w:ascii="Arial" w:hAnsi="Arial" w:cs="Arial"/>
          <w:sz w:val="22"/>
          <w:szCs w:val="22"/>
        </w:rPr>
        <w:t>Bürgermeister</w:t>
      </w:r>
    </w:p>
    <w:p w:rsidR="00C238AF" w:rsidRDefault="00C238AF" w:rsidP="002B13E9">
      <w:pPr>
        <w:jc w:val="both"/>
        <w:rPr>
          <w:rFonts w:ascii="Arial" w:hAnsi="Arial" w:cs="Arial"/>
          <w:sz w:val="22"/>
          <w:szCs w:val="22"/>
        </w:rPr>
      </w:pPr>
    </w:p>
    <w:p w:rsidR="00C238AF" w:rsidRDefault="00C238AF" w:rsidP="002B13E9">
      <w:pPr>
        <w:jc w:val="both"/>
        <w:rPr>
          <w:rFonts w:ascii="Arial" w:hAnsi="Arial" w:cs="Arial"/>
          <w:sz w:val="22"/>
          <w:szCs w:val="22"/>
        </w:rPr>
      </w:pPr>
    </w:p>
    <w:p w:rsidR="00C238AF" w:rsidRDefault="00C238AF" w:rsidP="002B13E9">
      <w:pPr>
        <w:jc w:val="both"/>
        <w:rPr>
          <w:rFonts w:ascii="Arial" w:hAnsi="Arial" w:cs="Arial"/>
          <w:sz w:val="22"/>
          <w:szCs w:val="22"/>
        </w:rPr>
      </w:pPr>
    </w:p>
    <w:p w:rsidR="00C238AF" w:rsidRDefault="00C238AF" w:rsidP="002B13E9">
      <w:pPr>
        <w:jc w:val="both"/>
        <w:rPr>
          <w:rFonts w:ascii="Arial" w:hAnsi="Arial" w:cs="Arial"/>
          <w:sz w:val="22"/>
          <w:szCs w:val="22"/>
        </w:rPr>
      </w:pPr>
    </w:p>
    <w:p w:rsidR="00C238AF" w:rsidRDefault="00C238AF" w:rsidP="002B13E9">
      <w:pPr>
        <w:jc w:val="both"/>
        <w:rPr>
          <w:rFonts w:ascii="Arial" w:hAnsi="Arial" w:cs="Arial"/>
          <w:sz w:val="22"/>
          <w:szCs w:val="22"/>
        </w:rPr>
      </w:pPr>
    </w:p>
    <w:p w:rsidR="00C238AF" w:rsidRDefault="00C238AF" w:rsidP="002B13E9">
      <w:pPr>
        <w:jc w:val="both"/>
        <w:rPr>
          <w:rFonts w:ascii="Arial" w:hAnsi="Arial" w:cs="Arial"/>
          <w:sz w:val="22"/>
          <w:szCs w:val="22"/>
        </w:rPr>
      </w:pPr>
    </w:p>
    <w:p w:rsidR="00C238AF" w:rsidRDefault="00C238AF" w:rsidP="002B13E9">
      <w:pPr>
        <w:jc w:val="both"/>
        <w:rPr>
          <w:rFonts w:ascii="Arial" w:hAnsi="Arial" w:cs="Arial"/>
          <w:sz w:val="22"/>
          <w:szCs w:val="22"/>
        </w:rPr>
      </w:pPr>
    </w:p>
    <w:p w:rsidR="00C238AF" w:rsidRDefault="00C238AF" w:rsidP="00C238AF">
      <w:pPr>
        <w:jc w:val="center"/>
        <w:rPr>
          <w:rFonts w:ascii="Arial" w:hAnsi="Arial" w:cs="Arial"/>
          <w:sz w:val="22"/>
          <w:szCs w:val="22"/>
        </w:rPr>
      </w:pPr>
      <w:r>
        <w:rPr>
          <w:rFonts w:ascii="Arial" w:hAnsi="Arial" w:cs="Arial"/>
          <w:sz w:val="22"/>
          <w:szCs w:val="22"/>
        </w:rPr>
        <w:lastRenderedPageBreak/>
        <w:t>Anlage</w:t>
      </w:r>
    </w:p>
    <w:p w:rsidR="00C238AF" w:rsidRDefault="00C238AF" w:rsidP="00C238AF">
      <w:pPr>
        <w:jc w:val="center"/>
        <w:rPr>
          <w:rFonts w:ascii="Arial" w:hAnsi="Arial" w:cs="Arial"/>
          <w:sz w:val="22"/>
          <w:szCs w:val="22"/>
        </w:rPr>
      </w:pPr>
    </w:p>
    <w:p w:rsidR="00C238AF" w:rsidRPr="00800827" w:rsidRDefault="00C238AF" w:rsidP="00C238AF">
      <w:pPr>
        <w:jc w:val="center"/>
        <w:rPr>
          <w:rFonts w:ascii="Arial" w:hAnsi="Arial" w:cs="Arial"/>
          <w:sz w:val="22"/>
          <w:szCs w:val="22"/>
        </w:rPr>
      </w:pPr>
      <w:r w:rsidRPr="00C238AF">
        <w:rPr>
          <w:rFonts w:ascii="Arial" w:hAnsi="Arial" w:cs="Arial"/>
          <w:noProof/>
          <w:sz w:val="22"/>
          <w:szCs w:val="22"/>
        </w:rPr>
        <w:drawing>
          <wp:inline distT="0" distB="0" distL="0" distR="0">
            <wp:extent cx="8089649" cy="5361335"/>
            <wp:effectExtent l="0" t="762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16200000">
                      <a:off x="0" y="0"/>
                      <a:ext cx="8092674" cy="5363340"/>
                    </a:xfrm>
                    <a:prstGeom prst="rect">
                      <a:avLst/>
                    </a:prstGeom>
                    <a:noFill/>
                    <a:ln>
                      <a:noFill/>
                    </a:ln>
                  </pic:spPr>
                </pic:pic>
              </a:graphicData>
            </a:graphic>
          </wp:inline>
        </w:drawing>
      </w:r>
    </w:p>
    <w:sectPr w:rsidR="00C238AF" w:rsidRPr="00800827" w:rsidSect="002B13E9">
      <w:pgSz w:w="11907" w:h="16840"/>
      <w:pgMar w:top="567" w:right="567" w:bottom="567" w:left="1134"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nsid w:val="02243BAF"/>
    <w:multiLevelType w:val="singleLevel"/>
    <w:tmpl w:val="F314F31A"/>
    <w:lvl w:ilvl="0">
      <w:start w:val="1"/>
      <w:numFmt w:val="lowerLetter"/>
      <w:lvlText w:val="%1)"/>
      <w:lvlJc w:val="left"/>
      <w:pPr>
        <w:tabs>
          <w:tab w:val="num" w:pos="360"/>
        </w:tabs>
        <w:ind w:left="360" w:hanging="360"/>
      </w:pPr>
    </w:lvl>
  </w:abstractNum>
  <w:abstractNum w:abstractNumId="2">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nsid w:val="070447CD"/>
    <w:multiLevelType w:val="singleLevel"/>
    <w:tmpl w:val="F314F31A"/>
    <w:lvl w:ilvl="0">
      <w:start w:val="1"/>
      <w:numFmt w:val="lowerLetter"/>
      <w:lvlText w:val="%1)"/>
      <w:lvlJc w:val="left"/>
      <w:pPr>
        <w:tabs>
          <w:tab w:val="num" w:pos="360"/>
        </w:tabs>
        <w:ind w:left="360" w:hanging="360"/>
      </w:pPr>
    </w:lvl>
  </w:abstractNum>
  <w:abstractNum w:abstractNumId="4">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6">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8">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2">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nsid w:val="724800AE"/>
    <w:multiLevelType w:val="singleLevel"/>
    <w:tmpl w:val="0407000F"/>
    <w:lvl w:ilvl="0">
      <w:start w:val="1"/>
      <w:numFmt w:val="decimal"/>
      <w:lvlText w:val="%1."/>
      <w:lvlJc w:val="left"/>
      <w:pPr>
        <w:tabs>
          <w:tab w:val="num" w:pos="360"/>
        </w:tabs>
        <w:ind w:left="360" w:hanging="360"/>
      </w:pPr>
    </w:lvl>
  </w:abstractNum>
  <w:abstractNum w:abstractNumId="15">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16"/>
  </w:num>
  <w:num w:numId="2">
    <w:abstractNumId w:val="3"/>
  </w:num>
  <w:num w:numId="3">
    <w:abstractNumId w:val="11"/>
  </w:num>
  <w:num w:numId="4">
    <w:abstractNumId w:val="1"/>
  </w:num>
  <w:num w:numId="5">
    <w:abstractNumId w:val="14"/>
  </w:num>
  <w:num w:numId="6">
    <w:abstractNumId w:val="17"/>
  </w:num>
  <w:num w:numId="7">
    <w:abstractNumId w:val="0"/>
  </w:num>
  <w:num w:numId="8">
    <w:abstractNumId w:val="5"/>
  </w:num>
  <w:num w:numId="9">
    <w:abstractNumId w:val="2"/>
  </w:num>
  <w:num w:numId="10">
    <w:abstractNumId w:val="15"/>
  </w:num>
  <w:num w:numId="11">
    <w:abstractNumId w:val="9"/>
  </w:num>
  <w:num w:numId="12">
    <w:abstractNumId w:val="8"/>
  </w:num>
  <w:num w:numId="13">
    <w:abstractNumId w:val="7"/>
  </w:num>
  <w:num w:numId="14">
    <w:abstractNumId w:val="6"/>
  </w:num>
  <w:num w:numId="15">
    <w:abstractNumId w:val="4"/>
  </w:num>
  <w:num w:numId="16">
    <w:abstractNumId w:val="10"/>
  </w:num>
  <w:num w:numId="17">
    <w:abstractNumId w:val="1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11C1C"/>
    <w:rsid w:val="000176B5"/>
    <w:rsid w:val="0008709A"/>
    <w:rsid w:val="000E4F05"/>
    <w:rsid w:val="000F29E7"/>
    <w:rsid w:val="00112AD6"/>
    <w:rsid w:val="00135186"/>
    <w:rsid w:val="00146020"/>
    <w:rsid w:val="00151D79"/>
    <w:rsid w:val="00181DFD"/>
    <w:rsid w:val="001942B9"/>
    <w:rsid w:val="001D5010"/>
    <w:rsid w:val="001F6B97"/>
    <w:rsid w:val="00261A16"/>
    <w:rsid w:val="00285611"/>
    <w:rsid w:val="002933B4"/>
    <w:rsid w:val="0029540F"/>
    <w:rsid w:val="002B13E9"/>
    <w:rsid w:val="002E2F0D"/>
    <w:rsid w:val="00325804"/>
    <w:rsid w:val="003C37AD"/>
    <w:rsid w:val="0040399D"/>
    <w:rsid w:val="0041143A"/>
    <w:rsid w:val="004136D3"/>
    <w:rsid w:val="00420861"/>
    <w:rsid w:val="004727C6"/>
    <w:rsid w:val="00475016"/>
    <w:rsid w:val="004C5930"/>
    <w:rsid w:val="004D3C10"/>
    <w:rsid w:val="004E0DB4"/>
    <w:rsid w:val="004F5F28"/>
    <w:rsid w:val="00501CB0"/>
    <w:rsid w:val="00526747"/>
    <w:rsid w:val="00551728"/>
    <w:rsid w:val="00586656"/>
    <w:rsid w:val="005F6BAD"/>
    <w:rsid w:val="006167AA"/>
    <w:rsid w:val="00656588"/>
    <w:rsid w:val="006B6C28"/>
    <w:rsid w:val="006B6EA6"/>
    <w:rsid w:val="006C1355"/>
    <w:rsid w:val="006F1423"/>
    <w:rsid w:val="006F49CB"/>
    <w:rsid w:val="006F5FE4"/>
    <w:rsid w:val="007126E1"/>
    <w:rsid w:val="007A16F7"/>
    <w:rsid w:val="007E446D"/>
    <w:rsid w:val="007E5E79"/>
    <w:rsid w:val="00800827"/>
    <w:rsid w:val="008820D6"/>
    <w:rsid w:val="008A2385"/>
    <w:rsid w:val="008C2A8C"/>
    <w:rsid w:val="009050F6"/>
    <w:rsid w:val="00905648"/>
    <w:rsid w:val="00912AF8"/>
    <w:rsid w:val="00930E4B"/>
    <w:rsid w:val="00947C88"/>
    <w:rsid w:val="00963D2C"/>
    <w:rsid w:val="0099462F"/>
    <w:rsid w:val="00A15E04"/>
    <w:rsid w:val="00A218AD"/>
    <w:rsid w:val="00A225C2"/>
    <w:rsid w:val="00B374B3"/>
    <w:rsid w:val="00B566CF"/>
    <w:rsid w:val="00B667EE"/>
    <w:rsid w:val="00B71DCD"/>
    <w:rsid w:val="00B926BD"/>
    <w:rsid w:val="00B96589"/>
    <w:rsid w:val="00BB4C26"/>
    <w:rsid w:val="00BC0810"/>
    <w:rsid w:val="00BC7703"/>
    <w:rsid w:val="00C106D5"/>
    <w:rsid w:val="00C238AF"/>
    <w:rsid w:val="00C53A7F"/>
    <w:rsid w:val="00C552AA"/>
    <w:rsid w:val="00CF4295"/>
    <w:rsid w:val="00D27A78"/>
    <w:rsid w:val="00D96021"/>
    <w:rsid w:val="00DB04FE"/>
    <w:rsid w:val="00DD3080"/>
    <w:rsid w:val="00DD76B7"/>
    <w:rsid w:val="00E13629"/>
    <w:rsid w:val="00E1619C"/>
    <w:rsid w:val="00E17D01"/>
    <w:rsid w:val="00E32163"/>
    <w:rsid w:val="00E425B1"/>
    <w:rsid w:val="00E52CA6"/>
    <w:rsid w:val="00E74104"/>
    <w:rsid w:val="00E81AE0"/>
    <w:rsid w:val="00E86113"/>
    <w:rsid w:val="00EF77E1"/>
    <w:rsid w:val="00F111C7"/>
    <w:rsid w:val="00F23EB8"/>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544</Words>
  <Characters>4141</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4676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Kuß, Ronald</cp:lastModifiedBy>
  <cp:revision>7</cp:revision>
  <cp:lastPrinted>2000-11-22T14:32:00Z</cp:lastPrinted>
  <dcterms:created xsi:type="dcterms:W3CDTF">2018-11-16T11:44:00Z</dcterms:created>
  <dcterms:modified xsi:type="dcterms:W3CDTF">2018-11-19T10:46:00Z</dcterms:modified>
</cp:coreProperties>
</file>