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7B6DD4" w:rsidP="007B6DD4">
      <w:pPr>
        <w:tabs>
          <w:tab w:val="left" w:pos="7371"/>
        </w:tabs>
        <w:rPr>
          <w:rFonts w:ascii="Arial" w:hAnsi="Arial"/>
          <w:sz w:val="24"/>
        </w:rPr>
      </w:pPr>
      <w:r>
        <w:rPr>
          <w:rFonts w:ascii="Arial" w:hAnsi="Arial"/>
          <w:b/>
          <w:sz w:val="32"/>
        </w:rPr>
        <w:tab/>
      </w:r>
      <w:r w:rsidR="002B13E9">
        <w:rPr>
          <w:rFonts w:ascii="Arial" w:hAnsi="Arial"/>
        </w:rPr>
        <w:t xml:space="preserve">Ellrich, den </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181DFD" w:rsidRDefault="002B13E9" w:rsidP="002B13E9">
      <w:pPr>
        <w:rPr>
          <w:rFonts w:ascii="Arial" w:hAnsi="Arial"/>
          <w:b/>
          <w:sz w:val="24"/>
        </w:rPr>
      </w:pPr>
      <w:r>
        <w:rPr>
          <w:rFonts w:ascii="Arial" w:hAnsi="Arial"/>
          <w:b/>
          <w:sz w:val="24"/>
        </w:rPr>
        <w:t xml:space="preserve">Vorlage zum  </w:t>
      </w:r>
      <w:r>
        <w:rPr>
          <w:rFonts w:ascii="Arial" w:hAnsi="Arial"/>
          <w:b/>
          <w:sz w:val="40"/>
        </w:rPr>
        <w:t>Beschluss-Nr.</w:t>
      </w:r>
      <w:r w:rsidR="0033058C">
        <w:rPr>
          <w:rFonts w:ascii="Arial" w:hAnsi="Arial"/>
          <w:b/>
          <w:sz w:val="40"/>
        </w:rPr>
        <w:t xml:space="preserve"> T010-19/24</w:t>
      </w:r>
      <w:r>
        <w:rPr>
          <w:rFonts w:ascii="Arial" w:hAnsi="Arial"/>
          <w:sz w:val="24"/>
        </w:rPr>
        <w:t xml:space="preserve">   </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proofErr w:type="gramStart"/>
      <w:r>
        <w:rPr>
          <w:rFonts w:ascii="Arial" w:hAnsi="Arial"/>
        </w:rPr>
        <w:t>mit .................</w:t>
      </w:r>
      <w:proofErr w:type="gramEnd"/>
      <w:r>
        <w:rPr>
          <w:rFonts w:ascii="Arial" w:hAnsi="Arial"/>
        </w:rPr>
        <w:t xml:space="preserve">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B56BF6" w:rsidRDefault="00B053FE" w:rsidP="00B053FE">
            <w:pPr>
              <w:rPr>
                <w:rFonts w:ascii="Arial" w:hAnsi="Arial"/>
                <w:sz w:val="22"/>
                <w:szCs w:val="22"/>
              </w:rPr>
            </w:pPr>
            <w:r w:rsidRPr="00B56BF6">
              <w:rPr>
                <w:rFonts w:ascii="Arial" w:hAnsi="Arial"/>
                <w:sz w:val="22"/>
                <w:szCs w:val="22"/>
              </w:rPr>
              <w:t>Überplanmäßige Ausgabe Holzeinschlag Stadtwald</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B053FE" w:rsidP="00617A25">
            <w:pPr>
              <w:jc w:val="both"/>
              <w:rPr>
                <w:rFonts w:ascii="Arial" w:hAnsi="Arial"/>
                <w:sz w:val="22"/>
              </w:rPr>
            </w:pPr>
            <w:r>
              <w:rPr>
                <w:rFonts w:ascii="Arial" w:hAnsi="Arial"/>
                <w:sz w:val="22"/>
              </w:rPr>
              <w:t>Der Stadtrat der Stadt Ellrich stimmt der überplanmäßigen Ausgabe in Höhe von</w:t>
            </w:r>
            <w:r w:rsidR="00DB6504">
              <w:rPr>
                <w:rFonts w:ascii="Arial" w:hAnsi="Arial"/>
                <w:sz w:val="22"/>
              </w:rPr>
              <w:t xml:space="preserve"> </w:t>
            </w:r>
            <w:r w:rsidR="00617A25">
              <w:rPr>
                <w:rFonts w:ascii="Arial" w:hAnsi="Arial"/>
                <w:sz w:val="22"/>
              </w:rPr>
              <w:t>24.416,76</w:t>
            </w:r>
            <w:r>
              <w:rPr>
                <w:rFonts w:ascii="Arial" w:hAnsi="Arial"/>
                <w:sz w:val="22"/>
              </w:rPr>
              <w:t xml:space="preserve"> € zu.</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01000A" w:rsidRDefault="002B13E9" w:rsidP="0001000A">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181DFD">
              <w:rPr>
                <w:rFonts w:ascii="Arial" w:hAnsi="Arial"/>
                <w:sz w:val="22"/>
              </w:rPr>
              <w:t xml:space="preserve">,  </w:t>
            </w:r>
            <w:r w:rsidR="0001000A">
              <w:rPr>
                <w:rFonts w:ascii="Arial" w:hAnsi="Arial"/>
                <w:sz w:val="22"/>
              </w:rPr>
              <w:t>zu</w:t>
            </w:r>
            <w:r w:rsidR="0002557D">
              <w:rPr>
                <w:rFonts w:ascii="Arial" w:hAnsi="Arial"/>
                <w:sz w:val="22"/>
              </w:rPr>
              <w:t>letzt geändert durch Gesetz vom 09.06.2017</w:t>
            </w:r>
            <w:r w:rsidR="00A83FC0">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02557D">
              <w:rPr>
                <w:rFonts w:ascii="Arial" w:hAnsi="Arial"/>
                <w:sz w:val="22"/>
              </w:rPr>
              <w:t>159</w:t>
            </w:r>
            <w:r w:rsidR="007C04D5">
              <w:rPr>
                <w:rFonts w:ascii="Arial" w:hAnsi="Arial"/>
                <w:sz w:val="22"/>
              </w:rPr>
              <w:t>)</w:t>
            </w:r>
          </w:p>
          <w:p w:rsidR="002B13E9" w:rsidRDefault="00181DFD" w:rsidP="002B13E9">
            <w:pPr>
              <w:rPr>
                <w:rFonts w:ascii="Arial" w:hAnsi="Arial"/>
                <w:sz w:val="22"/>
              </w:rPr>
            </w:pPr>
            <w:r>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Pr="00B07B58" w:rsidRDefault="002B13E9" w:rsidP="00B07B58">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p w:rsidR="002B13E9" w:rsidRDefault="002B13E9" w:rsidP="002B13E9">
            <w:pPr>
              <w:rPr>
                <w:rFonts w:ascii="Arial" w:hAnsi="Arial"/>
                <w:sz w:val="22"/>
              </w:rPr>
            </w:pPr>
          </w:p>
        </w:tc>
        <w:tc>
          <w:tcPr>
            <w:tcW w:w="5456" w:type="dxa"/>
          </w:tcPr>
          <w:p w:rsidR="00BB4C26" w:rsidRDefault="00BB4C26" w:rsidP="000E3827">
            <w:pPr>
              <w:rPr>
                <w:rFonts w:ascii="Arial" w:hAnsi="Arial"/>
                <w:sz w:val="22"/>
              </w:rPr>
            </w:pP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B053FE" w:rsidRDefault="00B053FE" w:rsidP="00B053FE">
            <w:pPr>
              <w:rPr>
                <w:rFonts w:ascii="Arial" w:hAnsi="Arial"/>
                <w:sz w:val="22"/>
                <w:szCs w:val="22"/>
              </w:rPr>
            </w:pPr>
            <w:r>
              <w:rPr>
                <w:rFonts w:ascii="Arial" w:hAnsi="Arial"/>
                <w:sz w:val="22"/>
                <w:szCs w:val="22"/>
              </w:rPr>
              <w:t>Ausgaben</w:t>
            </w:r>
            <w:r w:rsidR="00617A25">
              <w:rPr>
                <w:rFonts w:ascii="Arial" w:hAnsi="Arial"/>
                <w:sz w:val="22"/>
                <w:szCs w:val="22"/>
              </w:rPr>
              <w:t xml:space="preserve"> in Höhe von 24.416,76</w:t>
            </w:r>
            <w:r>
              <w:rPr>
                <w:rFonts w:ascii="Arial" w:hAnsi="Arial"/>
                <w:sz w:val="22"/>
                <w:szCs w:val="22"/>
              </w:rPr>
              <w:t xml:space="preserve"> €</w:t>
            </w:r>
          </w:p>
          <w:p w:rsidR="002B13E9" w:rsidRDefault="002B13E9" w:rsidP="002B13E9">
            <w:pPr>
              <w:rPr>
                <w:rFonts w:ascii="Arial" w:hAnsi="Arial"/>
                <w:sz w:val="22"/>
              </w:rPr>
            </w:pP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8A068A"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467A42"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F6A36" w:rsidRDefault="002F6A36" w:rsidP="002B13E9">
      <w:pPr>
        <w:rPr>
          <w:rFonts w:ascii="Arial" w:hAnsi="Arial" w:cs="Arial"/>
        </w:rPr>
      </w:pPr>
    </w:p>
    <w:p w:rsidR="002F6A36" w:rsidRDefault="002F6A36" w:rsidP="002B13E9">
      <w:pPr>
        <w:rPr>
          <w:rFonts w:ascii="Arial" w:hAnsi="Arial" w:cs="Arial"/>
        </w:rPr>
      </w:pPr>
    </w:p>
    <w:p w:rsidR="002B13E9" w:rsidRPr="00E86113" w:rsidRDefault="002B13E9" w:rsidP="002B13E9">
      <w:pPr>
        <w:outlineLvl w:val="0"/>
        <w:rPr>
          <w:rFonts w:ascii="Arial" w:hAnsi="Arial" w:cs="Arial"/>
          <w:b/>
        </w:rPr>
      </w:pPr>
      <w:r w:rsidRPr="00E86113">
        <w:rPr>
          <w:rFonts w:ascii="Arial" w:hAnsi="Arial" w:cs="Arial"/>
          <w:b/>
          <w:sz w:val="24"/>
          <w:szCs w:val="24"/>
        </w:rPr>
        <w:lastRenderedPageBreak/>
        <w:t>Begründung zum</w:t>
      </w:r>
      <w:r w:rsidRPr="00E86113">
        <w:rPr>
          <w:rFonts w:ascii="Arial" w:hAnsi="Arial" w:cs="Arial"/>
          <w:b/>
        </w:rPr>
        <w:t xml:space="preserve"> </w:t>
      </w:r>
      <w:r w:rsidRPr="00E86113">
        <w:rPr>
          <w:rFonts w:ascii="Arial" w:hAnsi="Arial" w:cs="Arial"/>
          <w:b/>
          <w:sz w:val="40"/>
          <w:szCs w:val="40"/>
        </w:rPr>
        <w:t>Beschluss Nr.:</w:t>
      </w:r>
      <w:r w:rsidR="0033058C">
        <w:rPr>
          <w:rFonts w:ascii="Arial" w:hAnsi="Arial" w:cs="Arial"/>
          <w:b/>
          <w:sz w:val="40"/>
          <w:szCs w:val="40"/>
        </w:rPr>
        <w:t xml:space="preserve"> </w:t>
      </w:r>
      <w:r w:rsidR="0033058C">
        <w:rPr>
          <w:rFonts w:ascii="Arial" w:hAnsi="Arial"/>
          <w:b/>
          <w:sz w:val="40"/>
        </w:rPr>
        <w:t>T010-19/24</w:t>
      </w:r>
      <w:r w:rsidR="0033058C">
        <w:rPr>
          <w:rFonts w:ascii="Arial" w:hAnsi="Arial"/>
          <w:sz w:val="24"/>
        </w:rPr>
        <w:t xml:space="preserve">   </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B053FE" w:rsidRDefault="00B053FE" w:rsidP="002B13E9">
      <w:pPr>
        <w:outlineLvl w:val="0"/>
        <w:rPr>
          <w:rFonts w:ascii="Arial" w:hAnsi="Arial" w:cs="Arial"/>
          <w:b/>
          <w:sz w:val="24"/>
          <w:szCs w:val="24"/>
          <w:u w:val="single"/>
        </w:rPr>
      </w:pPr>
    </w:p>
    <w:p w:rsidR="002B13E9" w:rsidRDefault="00755009" w:rsidP="002B13E9">
      <w:pPr>
        <w:rPr>
          <w:rFonts w:ascii="Arial" w:hAnsi="Arial"/>
          <w:sz w:val="22"/>
        </w:rPr>
      </w:pPr>
      <w:r w:rsidRPr="00755009">
        <w:rPr>
          <w:rFonts w:ascii="Arial" w:hAnsi="Arial"/>
          <w:sz w:val="22"/>
        </w:rPr>
        <w:t>Der Stadtrat der Stadt Ellrich stimmt der überplanmäßigen Ausgabe in Höhe von 24.416,76 € zu.</w:t>
      </w:r>
    </w:p>
    <w:p w:rsidR="00D81C3E" w:rsidRPr="00BB4C26" w:rsidRDefault="00D81C3E" w:rsidP="002B13E9">
      <w:pPr>
        <w:rPr>
          <w:rFonts w:ascii="Arial" w:hAnsi="Arial" w:cs="Arial"/>
          <w:b/>
          <w:sz w:val="22"/>
          <w:szCs w:val="22"/>
        </w:rPr>
      </w:pPr>
    </w:p>
    <w:p w:rsidR="00BC3BAD" w:rsidRPr="004727C6" w:rsidRDefault="00BC3BAD" w:rsidP="00BC3BAD">
      <w:pPr>
        <w:jc w:val="both"/>
        <w:rPr>
          <w:rFonts w:ascii="Arial" w:hAnsi="Arial"/>
          <w:sz w:val="10"/>
          <w:szCs w:val="10"/>
        </w:rPr>
      </w:pPr>
    </w:p>
    <w:p w:rsidR="00181DFD" w:rsidRPr="008A2385" w:rsidRDefault="00181DFD"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2B13E9" w:rsidRDefault="002B13E9" w:rsidP="002B13E9">
      <w:pPr>
        <w:jc w:val="both"/>
        <w:rPr>
          <w:rFonts w:ascii="Arial" w:hAnsi="Arial" w:cs="Arial"/>
          <w:sz w:val="22"/>
          <w:szCs w:val="22"/>
        </w:rPr>
      </w:pPr>
    </w:p>
    <w:p w:rsidR="001464F5" w:rsidRPr="001464F5" w:rsidRDefault="001464F5" w:rsidP="001464F5">
      <w:pPr>
        <w:jc w:val="both"/>
        <w:rPr>
          <w:rFonts w:ascii="Arial" w:hAnsi="Arial" w:cs="Arial"/>
          <w:sz w:val="22"/>
          <w:szCs w:val="22"/>
        </w:rPr>
      </w:pPr>
      <w:r w:rsidRPr="001464F5">
        <w:rPr>
          <w:rFonts w:ascii="Arial" w:hAnsi="Arial" w:cs="Arial"/>
          <w:sz w:val="22"/>
          <w:szCs w:val="22"/>
        </w:rPr>
        <w:t xml:space="preserve">Nach dem Sturm Friederike folgte </w:t>
      </w:r>
      <w:r>
        <w:rPr>
          <w:rFonts w:ascii="Arial" w:hAnsi="Arial" w:cs="Arial"/>
          <w:sz w:val="22"/>
          <w:szCs w:val="22"/>
        </w:rPr>
        <w:t xml:space="preserve">im vergangenen Jahr </w:t>
      </w:r>
      <w:r w:rsidRPr="001464F5">
        <w:rPr>
          <w:rFonts w:ascii="Arial" w:hAnsi="Arial" w:cs="Arial"/>
          <w:sz w:val="22"/>
          <w:szCs w:val="22"/>
        </w:rPr>
        <w:t>eine langanhaltende Dürreperiode, welche die außergewöhnlich rasante und enorme Entwicklung des Borkenkäfers begünstigte. Die Folgen sind deutlich sichtbar und es herrscht dringender Handlungsbedarf. Es droht ein Waldv</w:t>
      </w:r>
      <w:r>
        <w:rPr>
          <w:rFonts w:ascii="Arial" w:hAnsi="Arial" w:cs="Arial"/>
          <w:sz w:val="22"/>
          <w:szCs w:val="22"/>
        </w:rPr>
        <w:t xml:space="preserve">erlust von historischem Ausmaß. </w:t>
      </w:r>
      <w:r w:rsidRPr="001464F5">
        <w:rPr>
          <w:rFonts w:ascii="Arial" w:hAnsi="Arial" w:cs="Arial"/>
          <w:sz w:val="22"/>
          <w:szCs w:val="22"/>
        </w:rPr>
        <w:t xml:space="preserve">Parallel zu der rasant ansteigenden Menge an anfallenden Schadholz fällt der Holzerlös der Fichte pro Festmeter in Bereiche, die die Einschlagskosten </w:t>
      </w:r>
      <w:r w:rsidR="00962954">
        <w:rPr>
          <w:rFonts w:ascii="Arial" w:hAnsi="Arial" w:cs="Arial"/>
          <w:sz w:val="22"/>
          <w:szCs w:val="22"/>
        </w:rPr>
        <w:t xml:space="preserve">teilweise </w:t>
      </w:r>
      <w:r w:rsidRPr="001464F5">
        <w:rPr>
          <w:rFonts w:ascii="Arial" w:hAnsi="Arial" w:cs="Arial"/>
          <w:sz w:val="22"/>
          <w:szCs w:val="22"/>
        </w:rPr>
        <w:t xml:space="preserve">nicht mehr decken. Die Möglichkeiten im Rahmen der Förderung zur Aufbereitung von Schadholz durch den Freistaat </w:t>
      </w:r>
      <w:r w:rsidR="00872A22">
        <w:rPr>
          <w:rFonts w:ascii="Arial" w:hAnsi="Arial" w:cs="Arial"/>
          <w:sz w:val="22"/>
          <w:szCs w:val="22"/>
        </w:rPr>
        <w:t>sind durch die Stadt Ellrich beantragt</w:t>
      </w:r>
      <w:r w:rsidRPr="001464F5">
        <w:rPr>
          <w:rFonts w:ascii="Arial" w:hAnsi="Arial" w:cs="Arial"/>
          <w:sz w:val="22"/>
          <w:szCs w:val="22"/>
        </w:rPr>
        <w:t xml:space="preserve">, können jedoch </w:t>
      </w:r>
      <w:r>
        <w:rPr>
          <w:rFonts w:ascii="Arial" w:hAnsi="Arial" w:cs="Arial"/>
          <w:sz w:val="22"/>
          <w:szCs w:val="22"/>
        </w:rPr>
        <w:t xml:space="preserve">momentan </w:t>
      </w:r>
      <w:r w:rsidRPr="001464F5">
        <w:rPr>
          <w:rFonts w:ascii="Arial" w:hAnsi="Arial" w:cs="Arial"/>
          <w:sz w:val="22"/>
          <w:szCs w:val="22"/>
        </w:rPr>
        <w:t>die wirtschaftlichen Einbußen nicht kompensieren.</w:t>
      </w:r>
    </w:p>
    <w:p w:rsidR="001464F5" w:rsidRPr="001464F5" w:rsidRDefault="001464F5" w:rsidP="001464F5">
      <w:pPr>
        <w:jc w:val="both"/>
        <w:rPr>
          <w:rFonts w:ascii="Arial" w:hAnsi="Arial" w:cs="Arial"/>
          <w:sz w:val="22"/>
          <w:szCs w:val="22"/>
        </w:rPr>
      </w:pPr>
    </w:p>
    <w:p w:rsidR="001464F5" w:rsidRDefault="001464F5" w:rsidP="001464F5">
      <w:pPr>
        <w:jc w:val="both"/>
        <w:rPr>
          <w:rFonts w:ascii="Arial" w:hAnsi="Arial" w:cs="Arial"/>
          <w:sz w:val="22"/>
          <w:szCs w:val="22"/>
        </w:rPr>
      </w:pPr>
      <w:r w:rsidRPr="001464F5">
        <w:rPr>
          <w:rFonts w:ascii="Arial" w:hAnsi="Arial" w:cs="Arial"/>
          <w:sz w:val="22"/>
          <w:szCs w:val="22"/>
        </w:rPr>
        <w:t>Des Weiteren fehlen zunehmend forstwirtschaftliche Unternehmen, die in der Lage sind, die anfallenden Mengen in der nötigen Geschwindigkeit aufarbeiten zu können. Die Preisentwicklung in diesem Sektor ist entsprechend der Nachfrage steigend.</w:t>
      </w:r>
    </w:p>
    <w:p w:rsidR="001464F5" w:rsidRDefault="001464F5" w:rsidP="00B053FE">
      <w:pPr>
        <w:jc w:val="both"/>
        <w:rPr>
          <w:rFonts w:ascii="Arial" w:hAnsi="Arial" w:cs="Arial"/>
          <w:sz w:val="22"/>
          <w:szCs w:val="22"/>
        </w:rPr>
      </w:pPr>
    </w:p>
    <w:p w:rsidR="00A02F7E" w:rsidRDefault="00B053FE" w:rsidP="00B053FE">
      <w:pPr>
        <w:jc w:val="both"/>
        <w:rPr>
          <w:rFonts w:ascii="Arial" w:hAnsi="Arial" w:cs="Arial"/>
          <w:sz w:val="22"/>
          <w:szCs w:val="22"/>
        </w:rPr>
      </w:pPr>
      <w:r w:rsidRPr="00B053FE">
        <w:rPr>
          <w:rFonts w:ascii="Arial" w:hAnsi="Arial" w:cs="Arial"/>
          <w:sz w:val="22"/>
          <w:szCs w:val="22"/>
        </w:rPr>
        <w:t>Die auf 10 Jahre ausgerichtete Forsteinrichtung für den Stadtwald Ellrich sieht im Jahresdurchschnitt Hiebsmengen von maximal 2.000 – 3.000 Festmeter vor. Aus Gründen des Forstschutzes wurden die geplanten Hiebsmaßnahmen für das Jahr 2019 ausschließlich auf die erforderliche S</w:t>
      </w:r>
      <w:r w:rsidR="00A02F7E">
        <w:rPr>
          <w:rFonts w:ascii="Arial" w:hAnsi="Arial" w:cs="Arial"/>
          <w:sz w:val="22"/>
          <w:szCs w:val="22"/>
        </w:rPr>
        <w:t>chadholzaufarbeitung beschränkt, es wurde kein Frischholz eingeschlagen.</w:t>
      </w:r>
      <w:r w:rsidRPr="00B053FE">
        <w:rPr>
          <w:rFonts w:ascii="Arial" w:hAnsi="Arial" w:cs="Arial"/>
          <w:sz w:val="22"/>
          <w:szCs w:val="22"/>
        </w:rPr>
        <w:t xml:space="preserve"> </w:t>
      </w:r>
      <w:r w:rsidR="001464F5">
        <w:rPr>
          <w:rFonts w:ascii="Arial" w:hAnsi="Arial" w:cs="Arial"/>
          <w:sz w:val="22"/>
          <w:szCs w:val="22"/>
        </w:rPr>
        <w:t>Z</w:t>
      </w:r>
      <w:r w:rsidRPr="00B053FE">
        <w:rPr>
          <w:rFonts w:ascii="Arial" w:hAnsi="Arial" w:cs="Arial"/>
          <w:sz w:val="22"/>
          <w:szCs w:val="22"/>
        </w:rPr>
        <w:t>u Beginn dieses Jahres wurde mit anfallenden Schadholzmengen von 1.500 Festmeter gerechnet. Entsprechend dieser Menge wurde für den Winter-/Frühjahrshieb im beschränkten Vergabeverfahren Angebote eing</w:t>
      </w:r>
      <w:r w:rsidR="00A02F7E">
        <w:rPr>
          <w:rFonts w:ascii="Arial" w:hAnsi="Arial" w:cs="Arial"/>
          <w:sz w:val="22"/>
          <w:szCs w:val="22"/>
        </w:rPr>
        <w:t>eholt und der Auftrag vergeben.</w:t>
      </w:r>
    </w:p>
    <w:p w:rsidR="00A02F7E" w:rsidRDefault="00A02F7E" w:rsidP="00B053FE">
      <w:pPr>
        <w:jc w:val="both"/>
        <w:rPr>
          <w:rFonts w:ascii="Arial" w:hAnsi="Arial" w:cs="Arial"/>
          <w:sz w:val="22"/>
          <w:szCs w:val="22"/>
        </w:rPr>
      </w:pPr>
    </w:p>
    <w:p w:rsidR="00B053FE" w:rsidRDefault="00B053FE" w:rsidP="00B053FE">
      <w:pPr>
        <w:jc w:val="both"/>
        <w:rPr>
          <w:rFonts w:ascii="Arial" w:hAnsi="Arial" w:cs="Arial"/>
          <w:sz w:val="22"/>
          <w:szCs w:val="22"/>
        </w:rPr>
      </w:pPr>
      <w:r w:rsidRPr="00B053FE">
        <w:rPr>
          <w:rFonts w:ascii="Arial" w:hAnsi="Arial" w:cs="Arial"/>
          <w:sz w:val="22"/>
          <w:szCs w:val="22"/>
        </w:rPr>
        <w:t xml:space="preserve">Im April/Mai diesen Jahres zeichnete sich erneut eine Verschärfung der Situation ab, sodass wiederum im beschränkten Ausschreibungsverfahren 1.550 Festmeter Schadholzaufarbeitung ausgeschrieben wurden. </w:t>
      </w:r>
      <w:r w:rsidR="00B56BF6" w:rsidRPr="00B56BF6">
        <w:rPr>
          <w:rFonts w:ascii="Arial" w:hAnsi="Arial" w:cs="Arial"/>
          <w:sz w:val="22"/>
          <w:szCs w:val="22"/>
        </w:rPr>
        <w:t>Schnellstmögliches Handeln ist notwendig, um die wirtschaftlichen Verluste aber auch die Ausbreitung des Borkenkäfers zu minimieren. Eine zeitliche Verzögerung kann bei fortschreitender Trockenheit eine weitere Verschärfung der Situation bedeuten.</w:t>
      </w:r>
    </w:p>
    <w:p w:rsidR="00872A22" w:rsidRDefault="00872A22" w:rsidP="00B053FE">
      <w:pPr>
        <w:jc w:val="both"/>
        <w:rPr>
          <w:rFonts w:ascii="Arial" w:hAnsi="Arial" w:cs="Arial"/>
          <w:sz w:val="22"/>
          <w:szCs w:val="22"/>
        </w:rPr>
      </w:pPr>
    </w:p>
    <w:p w:rsidR="007A26F0" w:rsidRDefault="00872A22" w:rsidP="00B053FE">
      <w:pPr>
        <w:jc w:val="both"/>
        <w:rPr>
          <w:rFonts w:ascii="Arial" w:hAnsi="Arial" w:cs="Arial"/>
          <w:sz w:val="22"/>
          <w:szCs w:val="22"/>
        </w:rPr>
      </w:pPr>
      <w:r>
        <w:rPr>
          <w:rFonts w:ascii="Arial" w:hAnsi="Arial" w:cs="Arial"/>
          <w:sz w:val="22"/>
          <w:szCs w:val="22"/>
        </w:rPr>
        <w:t>Die geplanten Ausgaben betragen 80.000 EUR. Die bereits überdurchschnittlich hohe Hiebsmenge sowie notwendige Behandlung des gepolterten Holzes mit Insektizi</w:t>
      </w:r>
      <w:r w:rsidR="00B56BF6">
        <w:rPr>
          <w:rFonts w:ascii="Arial" w:hAnsi="Arial" w:cs="Arial"/>
          <w:sz w:val="22"/>
          <w:szCs w:val="22"/>
        </w:rPr>
        <w:t>den</w:t>
      </w:r>
      <w:r w:rsidR="002B18F3">
        <w:rPr>
          <w:rFonts w:ascii="Arial" w:hAnsi="Arial" w:cs="Arial"/>
          <w:sz w:val="22"/>
          <w:szCs w:val="22"/>
        </w:rPr>
        <w:t xml:space="preserve"> im Frühjahr führen zu einer üb</w:t>
      </w:r>
      <w:r w:rsidR="00B56BF6">
        <w:rPr>
          <w:rFonts w:ascii="Arial" w:hAnsi="Arial" w:cs="Arial"/>
          <w:sz w:val="22"/>
          <w:szCs w:val="22"/>
        </w:rPr>
        <w:t>erpl</w:t>
      </w:r>
      <w:r w:rsidR="007A26F0">
        <w:rPr>
          <w:rFonts w:ascii="Arial" w:hAnsi="Arial" w:cs="Arial"/>
          <w:sz w:val="22"/>
          <w:szCs w:val="22"/>
        </w:rPr>
        <w:t xml:space="preserve">anmäßigen Erhöhung der Ausgaben in Höhe von </w:t>
      </w:r>
      <w:r w:rsidR="00110500">
        <w:rPr>
          <w:rFonts w:ascii="Arial" w:hAnsi="Arial" w:cs="Arial"/>
          <w:sz w:val="22"/>
          <w:szCs w:val="22"/>
        </w:rPr>
        <w:t>24.416,76</w:t>
      </w:r>
      <w:r w:rsidR="007A26F0">
        <w:rPr>
          <w:rFonts w:ascii="Arial" w:hAnsi="Arial" w:cs="Arial"/>
          <w:sz w:val="22"/>
          <w:szCs w:val="22"/>
        </w:rPr>
        <w:t xml:space="preserve"> EUR. Die Gegenüberstellung der voraussichtlichen Einnahmen und Ausgaben ist der folgenden Tabelle zu entnehmen:</w:t>
      </w:r>
      <w:bookmarkStart w:id="0" w:name="_GoBack"/>
      <w:bookmarkEnd w:id="0"/>
    </w:p>
    <w:p w:rsidR="00A02F7E" w:rsidRDefault="00A02F7E" w:rsidP="00B053FE">
      <w:pPr>
        <w:jc w:val="both"/>
        <w:rPr>
          <w:rFonts w:ascii="Arial" w:hAnsi="Arial" w:cs="Arial"/>
          <w:sz w:val="22"/>
          <w:szCs w:val="22"/>
        </w:rPr>
      </w:pPr>
    </w:p>
    <w:p w:rsidR="00A02F7E" w:rsidRDefault="00A02F7E" w:rsidP="00B053FE">
      <w:pPr>
        <w:jc w:val="both"/>
        <w:rPr>
          <w:rFonts w:ascii="Arial" w:hAnsi="Arial" w:cs="Arial"/>
          <w:sz w:val="22"/>
          <w:szCs w:val="22"/>
        </w:rPr>
      </w:pPr>
    </w:p>
    <w:p w:rsidR="00A02F7E" w:rsidRDefault="00A02F7E" w:rsidP="00B053FE">
      <w:pPr>
        <w:jc w:val="both"/>
        <w:rPr>
          <w:rFonts w:ascii="Arial" w:hAnsi="Arial" w:cs="Arial"/>
          <w:sz w:val="22"/>
          <w:szCs w:val="22"/>
        </w:rPr>
      </w:pPr>
    </w:p>
    <w:p w:rsidR="007A26F0" w:rsidRDefault="007A26F0" w:rsidP="00B053FE">
      <w:pPr>
        <w:jc w:val="both"/>
        <w:rPr>
          <w:rFonts w:ascii="Arial" w:hAnsi="Arial" w:cs="Arial"/>
          <w:sz w:val="22"/>
          <w:szCs w:val="22"/>
        </w:rPr>
      </w:pPr>
    </w:p>
    <w:tbl>
      <w:tblPr>
        <w:tblW w:w="8161" w:type="dxa"/>
        <w:tblCellMar>
          <w:left w:w="70" w:type="dxa"/>
          <w:right w:w="70" w:type="dxa"/>
        </w:tblCellMar>
        <w:tblLook w:val="04A0" w:firstRow="1" w:lastRow="0" w:firstColumn="1" w:lastColumn="0" w:noHBand="0" w:noVBand="1"/>
      </w:tblPr>
      <w:tblGrid>
        <w:gridCol w:w="4155"/>
        <w:gridCol w:w="1682"/>
        <w:gridCol w:w="2544"/>
      </w:tblGrid>
      <w:tr w:rsidR="00617A25" w:rsidRPr="00617A25" w:rsidTr="00617A25">
        <w:trPr>
          <w:trHeight w:val="900"/>
        </w:trPr>
        <w:tc>
          <w:tcPr>
            <w:tcW w:w="4155" w:type="dxa"/>
            <w:tcBorders>
              <w:top w:val="nil"/>
              <w:left w:val="nil"/>
              <w:bottom w:val="single" w:sz="4" w:space="0" w:color="auto"/>
              <w:right w:val="nil"/>
            </w:tcBorders>
            <w:shd w:val="clear" w:color="auto" w:fill="auto"/>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 </w:t>
            </w:r>
          </w:p>
        </w:tc>
        <w:tc>
          <w:tcPr>
            <w:tcW w:w="1572" w:type="dxa"/>
            <w:tcBorders>
              <w:top w:val="nil"/>
              <w:left w:val="nil"/>
              <w:bottom w:val="single" w:sz="4" w:space="0" w:color="auto"/>
              <w:right w:val="nil"/>
            </w:tcBorders>
            <w:shd w:val="clear" w:color="auto" w:fill="auto"/>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Schadholzmenge in Festmeter</w:t>
            </w:r>
          </w:p>
        </w:tc>
        <w:tc>
          <w:tcPr>
            <w:tcW w:w="2434" w:type="dxa"/>
            <w:tcBorders>
              <w:top w:val="nil"/>
              <w:left w:val="nil"/>
              <w:bottom w:val="single" w:sz="4" w:space="0" w:color="auto"/>
              <w:right w:val="nil"/>
            </w:tcBorders>
            <w:shd w:val="clear" w:color="auto" w:fill="auto"/>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entstandene/entstehende Kosten</w:t>
            </w:r>
          </w:p>
        </w:tc>
      </w:tr>
      <w:tr w:rsidR="00617A25" w:rsidRPr="00617A25" w:rsidTr="00617A25">
        <w:trPr>
          <w:trHeight w:val="300"/>
        </w:trPr>
        <w:tc>
          <w:tcPr>
            <w:tcW w:w="4155" w:type="dxa"/>
            <w:tcBorders>
              <w:top w:val="nil"/>
              <w:left w:val="nil"/>
              <w:bottom w:val="nil"/>
              <w:right w:val="nil"/>
            </w:tcBorders>
            <w:shd w:val="clear" w:color="auto" w:fill="auto"/>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Ausgaben</w:t>
            </w:r>
          </w:p>
        </w:tc>
        <w:tc>
          <w:tcPr>
            <w:tcW w:w="1572" w:type="dxa"/>
            <w:tcBorders>
              <w:top w:val="nil"/>
              <w:left w:val="nil"/>
              <w:bottom w:val="nil"/>
              <w:right w:val="nil"/>
            </w:tcBorders>
            <w:shd w:val="clear" w:color="auto" w:fill="auto"/>
            <w:hideMark/>
          </w:tcPr>
          <w:p w:rsidR="00617A25" w:rsidRPr="00617A25" w:rsidRDefault="00617A25" w:rsidP="00617A25">
            <w:pPr>
              <w:rPr>
                <w:rFonts w:ascii="Calibri" w:hAnsi="Calibri"/>
                <w:b/>
                <w:bCs/>
                <w:color w:val="000000"/>
                <w:sz w:val="22"/>
                <w:szCs w:val="22"/>
              </w:rPr>
            </w:pPr>
          </w:p>
        </w:tc>
        <w:tc>
          <w:tcPr>
            <w:tcW w:w="2434" w:type="dxa"/>
            <w:tcBorders>
              <w:top w:val="nil"/>
              <w:left w:val="nil"/>
              <w:bottom w:val="nil"/>
              <w:right w:val="nil"/>
            </w:tcBorders>
            <w:shd w:val="clear" w:color="auto" w:fill="auto"/>
            <w:hideMark/>
          </w:tcPr>
          <w:p w:rsidR="00617A25" w:rsidRPr="00617A25" w:rsidRDefault="00617A25" w:rsidP="00617A25"/>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Aufarbeitung Frühjahr 2019</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1.538,87</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51.275,15</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Aufarbeitung Frühjahr 2019</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150,00</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5.051,55</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Insektizid Behandlung</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920,91</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3.575,06</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Aufarbeitung Sommer 2019</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1.565,17</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44.515,00</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Summe</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b/>
                <w:bCs/>
                <w:color w:val="000000"/>
                <w:sz w:val="22"/>
                <w:szCs w:val="22"/>
              </w:rPr>
            </w:pPr>
            <w:r w:rsidRPr="00617A25">
              <w:rPr>
                <w:rFonts w:ascii="Calibri" w:hAnsi="Calibri"/>
                <w:b/>
                <w:bCs/>
                <w:color w:val="000000"/>
                <w:sz w:val="22"/>
                <w:szCs w:val="22"/>
              </w:rPr>
              <w:t>3.254,04</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b/>
                <w:bCs/>
                <w:color w:val="000000"/>
                <w:sz w:val="22"/>
                <w:szCs w:val="22"/>
              </w:rPr>
            </w:pPr>
            <w:r w:rsidRPr="00617A25">
              <w:rPr>
                <w:rFonts w:ascii="Calibri" w:hAnsi="Calibri"/>
                <w:b/>
                <w:bCs/>
                <w:color w:val="000000"/>
                <w:sz w:val="22"/>
                <w:szCs w:val="22"/>
              </w:rPr>
              <w:t>104.416,76</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b/>
                <w:bCs/>
                <w:color w:val="000000"/>
                <w:sz w:val="22"/>
                <w:szCs w:val="22"/>
              </w:rPr>
            </w:pPr>
          </w:p>
        </w:tc>
        <w:tc>
          <w:tcPr>
            <w:tcW w:w="1572" w:type="dxa"/>
            <w:tcBorders>
              <w:top w:val="nil"/>
              <w:left w:val="nil"/>
              <w:bottom w:val="nil"/>
              <w:right w:val="nil"/>
            </w:tcBorders>
            <w:shd w:val="clear" w:color="auto" w:fill="auto"/>
            <w:noWrap/>
            <w:vAlign w:val="bottom"/>
            <w:hideMark/>
          </w:tcPr>
          <w:p w:rsidR="00617A25" w:rsidRPr="00617A25" w:rsidRDefault="00617A25" w:rsidP="00617A25"/>
        </w:tc>
        <w:tc>
          <w:tcPr>
            <w:tcW w:w="2434" w:type="dxa"/>
            <w:tcBorders>
              <w:top w:val="nil"/>
              <w:left w:val="nil"/>
              <w:bottom w:val="nil"/>
              <w:right w:val="nil"/>
            </w:tcBorders>
            <w:shd w:val="clear" w:color="auto" w:fill="auto"/>
            <w:noWrap/>
            <w:vAlign w:val="bottom"/>
            <w:hideMark/>
          </w:tcPr>
          <w:p w:rsidR="00617A25" w:rsidRPr="00617A25" w:rsidRDefault="00617A25" w:rsidP="00617A25"/>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zur Verfügung stehende HH-Mittel</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80.000,00</w:t>
            </w:r>
          </w:p>
        </w:tc>
      </w:tr>
      <w:tr w:rsidR="00617A25" w:rsidRPr="00617A25" w:rsidTr="00617A25">
        <w:trPr>
          <w:trHeight w:val="300"/>
        </w:trPr>
        <w:tc>
          <w:tcPr>
            <w:tcW w:w="4155" w:type="dxa"/>
            <w:tcBorders>
              <w:top w:val="nil"/>
              <w:left w:val="nil"/>
              <w:bottom w:val="single" w:sz="4" w:space="0" w:color="auto"/>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überplanmäßige Ausgabe</w:t>
            </w:r>
          </w:p>
        </w:tc>
        <w:tc>
          <w:tcPr>
            <w:tcW w:w="1572" w:type="dxa"/>
            <w:tcBorders>
              <w:top w:val="nil"/>
              <w:left w:val="nil"/>
              <w:bottom w:val="single" w:sz="4" w:space="0" w:color="auto"/>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 </w:t>
            </w:r>
          </w:p>
        </w:tc>
        <w:tc>
          <w:tcPr>
            <w:tcW w:w="2434" w:type="dxa"/>
            <w:tcBorders>
              <w:top w:val="nil"/>
              <w:left w:val="nil"/>
              <w:bottom w:val="single" w:sz="4" w:space="0" w:color="auto"/>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24.416,76</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lastRenderedPageBreak/>
              <w:t>voraussichtliche Einnahmen</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b/>
                <w:bCs/>
                <w:color w:val="000000"/>
                <w:sz w:val="22"/>
                <w:szCs w:val="22"/>
              </w:rPr>
            </w:pPr>
          </w:p>
        </w:tc>
        <w:tc>
          <w:tcPr>
            <w:tcW w:w="2434" w:type="dxa"/>
            <w:tcBorders>
              <w:top w:val="nil"/>
              <w:left w:val="nil"/>
              <w:bottom w:val="nil"/>
              <w:right w:val="nil"/>
            </w:tcBorders>
            <w:shd w:val="clear" w:color="auto" w:fill="auto"/>
            <w:noWrap/>
            <w:vAlign w:val="bottom"/>
            <w:hideMark/>
          </w:tcPr>
          <w:p w:rsidR="00617A25" w:rsidRPr="00617A25" w:rsidRDefault="00617A25" w:rsidP="00617A25"/>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Pr>
                <w:rFonts w:ascii="Calibri" w:hAnsi="Calibri"/>
                <w:color w:val="000000"/>
                <w:sz w:val="22"/>
                <w:szCs w:val="22"/>
              </w:rPr>
              <w:t>Verkaufserlös Schadholz (35</w:t>
            </w:r>
            <w:r w:rsidRPr="00617A25">
              <w:rPr>
                <w:rFonts w:ascii="Calibri" w:hAnsi="Calibri"/>
                <w:color w:val="000000"/>
                <w:sz w:val="22"/>
                <w:szCs w:val="22"/>
              </w:rPr>
              <w:t xml:space="preserve"> EUR/FM)</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3.254,04</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113.891,40</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A02F7E" w:rsidRDefault="00617A25" w:rsidP="00617A25">
            <w:pPr>
              <w:rPr>
                <w:rFonts w:ascii="Calibri" w:hAnsi="Calibri"/>
                <w:color w:val="000000"/>
                <w:sz w:val="22"/>
                <w:szCs w:val="22"/>
              </w:rPr>
            </w:pPr>
            <w:r w:rsidRPr="00617A25">
              <w:rPr>
                <w:rFonts w:ascii="Calibri" w:hAnsi="Calibri"/>
                <w:color w:val="000000"/>
                <w:sz w:val="22"/>
                <w:szCs w:val="22"/>
              </w:rPr>
              <w:t xml:space="preserve">Förderung Schadholzaufbereitung </w:t>
            </w:r>
          </w:p>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(5 EUR/FM)</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3.254,04</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16.270,20</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 xml:space="preserve">Förderung </w:t>
            </w:r>
            <w:proofErr w:type="spellStart"/>
            <w:r w:rsidRPr="00617A25">
              <w:rPr>
                <w:rFonts w:ascii="Calibri" w:hAnsi="Calibri"/>
                <w:color w:val="000000"/>
                <w:sz w:val="22"/>
                <w:szCs w:val="22"/>
              </w:rPr>
              <w:t>Insektizidbehandlung</w:t>
            </w:r>
            <w:proofErr w:type="spellEnd"/>
          </w:p>
        </w:tc>
        <w:tc>
          <w:tcPr>
            <w:tcW w:w="1572"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920,91</w:t>
            </w: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1749,729</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b/>
                <w:bCs/>
                <w:color w:val="000000"/>
                <w:sz w:val="22"/>
                <w:szCs w:val="22"/>
              </w:rPr>
            </w:pPr>
            <w:r w:rsidRPr="00617A25">
              <w:rPr>
                <w:rFonts w:ascii="Calibri" w:hAnsi="Calibri"/>
                <w:b/>
                <w:bCs/>
                <w:color w:val="000000"/>
                <w:sz w:val="22"/>
                <w:szCs w:val="22"/>
              </w:rPr>
              <w:t>Summe</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b/>
                <w:bCs/>
                <w:color w:val="000000"/>
                <w:sz w:val="22"/>
                <w:szCs w:val="22"/>
              </w:rPr>
            </w:pP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b/>
                <w:bCs/>
                <w:color w:val="000000"/>
                <w:sz w:val="22"/>
                <w:szCs w:val="22"/>
              </w:rPr>
            </w:pPr>
            <w:r w:rsidRPr="00617A25">
              <w:rPr>
                <w:rFonts w:ascii="Calibri" w:hAnsi="Calibri"/>
                <w:b/>
                <w:bCs/>
                <w:color w:val="000000"/>
                <w:sz w:val="22"/>
                <w:szCs w:val="22"/>
              </w:rPr>
              <w:t>131.911,33</w:t>
            </w:r>
          </w:p>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C91AB6">
            <w:pPr>
              <w:rPr>
                <w:rFonts w:ascii="Calibri" w:hAnsi="Calibri"/>
                <w:b/>
                <w:bCs/>
                <w:color w:val="000000"/>
                <w:sz w:val="22"/>
                <w:szCs w:val="22"/>
              </w:rPr>
            </w:pPr>
          </w:p>
        </w:tc>
        <w:tc>
          <w:tcPr>
            <w:tcW w:w="1572" w:type="dxa"/>
            <w:tcBorders>
              <w:top w:val="nil"/>
              <w:left w:val="nil"/>
              <w:bottom w:val="nil"/>
              <w:right w:val="nil"/>
            </w:tcBorders>
            <w:shd w:val="clear" w:color="auto" w:fill="auto"/>
            <w:noWrap/>
            <w:vAlign w:val="bottom"/>
            <w:hideMark/>
          </w:tcPr>
          <w:p w:rsidR="00617A25" w:rsidRPr="00617A25" w:rsidRDefault="00617A25" w:rsidP="00617A25"/>
        </w:tc>
        <w:tc>
          <w:tcPr>
            <w:tcW w:w="2434" w:type="dxa"/>
            <w:tcBorders>
              <w:top w:val="nil"/>
              <w:left w:val="nil"/>
              <w:bottom w:val="nil"/>
              <w:right w:val="nil"/>
            </w:tcBorders>
            <w:shd w:val="clear" w:color="auto" w:fill="auto"/>
            <w:noWrap/>
            <w:vAlign w:val="bottom"/>
            <w:hideMark/>
          </w:tcPr>
          <w:p w:rsidR="00617A25" w:rsidRPr="00617A25" w:rsidRDefault="00617A25" w:rsidP="00617A25"/>
        </w:tc>
      </w:tr>
      <w:tr w:rsidR="00617A25" w:rsidRPr="00617A25" w:rsidTr="00617A25">
        <w:trPr>
          <w:trHeight w:val="300"/>
        </w:trPr>
        <w:tc>
          <w:tcPr>
            <w:tcW w:w="4155"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r w:rsidRPr="00617A25">
              <w:rPr>
                <w:rFonts w:ascii="Calibri" w:hAnsi="Calibri"/>
                <w:color w:val="000000"/>
                <w:sz w:val="22"/>
                <w:szCs w:val="22"/>
              </w:rPr>
              <w:t>geplante Einnahmen</w:t>
            </w:r>
            <w:r w:rsidR="00C91AB6">
              <w:rPr>
                <w:rFonts w:ascii="Calibri" w:hAnsi="Calibri"/>
                <w:color w:val="000000"/>
                <w:sz w:val="22"/>
                <w:szCs w:val="22"/>
              </w:rPr>
              <w:t xml:space="preserve"> im HH 2019</w:t>
            </w:r>
          </w:p>
        </w:tc>
        <w:tc>
          <w:tcPr>
            <w:tcW w:w="1572" w:type="dxa"/>
            <w:tcBorders>
              <w:top w:val="nil"/>
              <w:left w:val="nil"/>
              <w:bottom w:val="nil"/>
              <w:right w:val="nil"/>
            </w:tcBorders>
            <w:shd w:val="clear" w:color="auto" w:fill="auto"/>
            <w:noWrap/>
            <w:vAlign w:val="bottom"/>
            <w:hideMark/>
          </w:tcPr>
          <w:p w:rsidR="00617A25" w:rsidRPr="00617A25" w:rsidRDefault="00617A25" w:rsidP="00617A25">
            <w:pPr>
              <w:rPr>
                <w:rFonts w:ascii="Calibri" w:hAnsi="Calibri"/>
                <w:color w:val="000000"/>
                <w:sz w:val="22"/>
                <w:szCs w:val="22"/>
              </w:rPr>
            </w:pPr>
          </w:p>
        </w:tc>
        <w:tc>
          <w:tcPr>
            <w:tcW w:w="2434" w:type="dxa"/>
            <w:tcBorders>
              <w:top w:val="nil"/>
              <w:left w:val="nil"/>
              <w:bottom w:val="nil"/>
              <w:right w:val="nil"/>
            </w:tcBorders>
            <w:shd w:val="clear" w:color="auto" w:fill="auto"/>
            <w:noWrap/>
            <w:vAlign w:val="bottom"/>
            <w:hideMark/>
          </w:tcPr>
          <w:p w:rsidR="00617A25" w:rsidRPr="00617A25" w:rsidRDefault="00617A25" w:rsidP="00617A25">
            <w:pPr>
              <w:jc w:val="right"/>
              <w:rPr>
                <w:rFonts w:ascii="Calibri" w:hAnsi="Calibri"/>
                <w:color w:val="000000"/>
                <w:sz w:val="22"/>
                <w:szCs w:val="22"/>
              </w:rPr>
            </w:pPr>
            <w:r w:rsidRPr="00617A25">
              <w:rPr>
                <w:rFonts w:ascii="Calibri" w:hAnsi="Calibri"/>
                <w:color w:val="000000"/>
                <w:sz w:val="22"/>
                <w:szCs w:val="22"/>
              </w:rPr>
              <w:t>175.000,00</w:t>
            </w:r>
          </w:p>
        </w:tc>
      </w:tr>
      <w:tr w:rsidR="00617A25" w:rsidRPr="00617A25" w:rsidTr="00C91AB6">
        <w:trPr>
          <w:trHeight w:val="300"/>
        </w:trPr>
        <w:tc>
          <w:tcPr>
            <w:tcW w:w="4155" w:type="dxa"/>
            <w:tcBorders>
              <w:top w:val="nil"/>
              <w:left w:val="nil"/>
              <w:bottom w:val="nil"/>
              <w:right w:val="nil"/>
            </w:tcBorders>
            <w:shd w:val="clear" w:color="auto" w:fill="auto"/>
            <w:noWrap/>
            <w:vAlign w:val="bottom"/>
          </w:tcPr>
          <w:p w:rsidR="00617A25" w:rsidRPr="00617A25" w:rsidRDefault="00617A25" w:rsidP="00617A25">
            <w:pPr>
              <w:rPr>
                <w:rFonts w:ascii="Calibri" w:hAnsi="Calibri"/>
                <w:color w:val="000000"/>
                <w:sz w:val="22"/>
                <w:szCs w:val="22"/>
              </w:rPr>
            </w:pPr>
          </w:p>
        </w:tc>
        <w:tc>
          <w:tcPr>
            <w:tcW w:w="1572" w:type="dxa"/>
            <w:tcBorders>
              <w:top w:val="nil"/>
              <w:left w:val="nil"/>
              <w:bottom w:val="nil"/>
              <w:right w:val="nil"/>
            </w:tcBorders>
            <w:shd w:val="clear" w:color="auto" w:fill="auto"/>
            <w:noWrap/>
            <w:vAlign w:val="bottom"/>
          </w:tcPr>
          <w:p w:rsidR="00617A25" w:rsidRPr="00617A25" w:rsidRDefault="00617A25" w:rsidP="00617A25">
            <w:pPr>
              <w:rPr>
                <w:rFonts w:ascii="Calibri" w:hAnsi="Calibri"/>
                <w:color w:val="000000"/>
                <w:sz w:val="22"/>
                <w:szCs w:val="22"/>
              </w:rPr>
            </w:pPr>
          </w:p>
        </w:tc>
        <w:tc>
          <w:tcPr>
            <w:tcW w:w="2434" w:type="dxa"/>
            <w:tcBorders>
              <w:top w:val="nil"/>
              <w:left w:val="nil"/>
              <w:bottom w:val="nil"/>
              <w:right w:val="nil"/>
            </w:tcBorders>
            <w:shd w:val="clear" w:color="auto" w:fill="auto"/>
            <w:noWrap/>
            <w:vAlign w:val="bottom"/>
          </w:tcPr>
          <w:p w:rsidR="00617A25" w:rsidRPr="00617A25" w:rsidRDefault="00617A25" w:rsidP="00617A25">
            <w:pPr>
              <w:jc w:val="right"/>
              <w:rPr>
                <w:rFonts w:ascii="Calibri" w:hAnsi="Calibri"/>
                <w:color w:val="000000"/>
                <w:sz w:val="22"/>
                <w:szCs w:val="22"/>
              </w:rPr>
            </w:pPr>
          </w:p>
        </w:tc>
      </w:tr>
    </w:tbl>
    <w:p w:rsidR="00B053FE" w:rsidRDefault="00B053FE" w:rsidP="00B053FE">
      <w:pPr>
        <w:jc w:val="both"/>
        <w:rPr>
          <w:rFonts w:ascii="Arial" w:hAnsi="Arial" w:cs="Arial"/>
          <w:sz w:val="22"/>
          <w:szCs w:val="22"/>
        </w:rPr>
      </w:pPr>
    </w:p>
    <w:p w:rsidR="00F01A63" w:rsidRDefault="00F01A63" w:rsidP="00B053FE">
      <w:pPr>
        <w:jc w:val="both"/>
        <w:rPr>
          <w:rFonts w:ascii="Arial" w:hAnsi="Arial" w:cs="Arial"/>
          <w:sz w:val="22"/>
          <w:szCs w:val="22"/>
        </w:rPr>
      </w:pPr>
    </w:p>
    <w:p w:rsidR="00DB5836" w:rsidRDefault="00F01A63" w:rsidP="00B053FE">
      <w:pPr>
        <w:jc w:val="both"/>
        <w:rPr>
          <w:rFonts w:ascii="Arial" w:hAnsi="Arial" w:cs="Arial"/>
          <w:sz w:val="22"/>
          <w:szCs w:val="22"/>
        </w:rPr>
      </w:pPr>
      <w:r>
        <w:rPr>
          <w:rFonts w:ascii="Arial" w:hAnsi="Arial" w:cs="Arial"/>
          <w:sz w:val="22"/>
          <w:szCs w:val="22"/>
        </w:rPr>
        <w:t xml:space="preserve">Aufgrund der aktuellen </w:t>
      </w:r>
      <w:r w:rsidR="009E7A33">
        <w:rPr>
          <w:rFonts w:ascii="Arial" w:hAnsi="Arial" w:cs="Arial"/>
          <w:sz w:val="22"/>
          <w:szCs w:val="22"/>
        </w:rPr>
        <w:t>Notsituation werden</w:t>
      </w:r>
      <w:r>
        <w:rPr>
          <w:rFonts w:ascii="Arial" w:hAnsi="Arial" w:cs="Arial"/>
          <w:sz w:val="22"/>
          <w:szCs w:val="22"/>
        </w:rPr>
        <w:t xml:space="preserve"> </w:t>
      </w:r>
      <w:r w:rsidR="009C7511">
        <w:rPr>
          <w:rFonts w:ascii="Arial" w:hAnsi="Arial" w:cs="Arial"/>
          <w:sz w:val="22"/>
          <w:szCs w:val="22"/>
        </w:rPr>
        <w:t>seitens der Landesregierun</w:t>
      </w:r>
      <w:r w:rsidR="00D61660">
        <w:rPr>
          <w:rFonts w:ascii="Arial" w:hAnsi="Arial" w:cs="Arial"/>
          <w:sz w:val="22"/>
          <w:szCs w:val="22"/>
        </w:rPr>
        <w:t>g, dem Waldbesitzerverband und dem Gemeinde- und Städtebund nach Möglichkeiten gesucht der Walds</w:t>
      </w:r>
      <w:r w:rsidR="00DB6504">
        <w:rPr>
          <w:rFonts w:ascii="Arial" w:hAnsi="Arial" w:cs="Arial"/>
          <w:sz w:val="22"/>
          <w:szCs w:val="22"/>
        </w:rPr>
        <w:t xml:space="preserve">chadenskatastrophe zu begegnen (siehe Anlage). </w:t>
      </w:r>
      <w:r w:rsidR="00391DFB">
        <w:rPr>
          <w:rFonts w:ascii="Arial" w:hAnsi="Arial" w:cs="Arial"/>
          <w:sz w:val="22"/>
          <w:szCs w:val="22"/>
        </w:rPr>
        <w:t xml:space="preserve">Ein Ausgleich der Mindereinnahmen durch Erhöhung der Fördermittel ist zum momentanen Zeitpunkt nicht vorhersehbar. </w:t>
      </w:r>
      <w:r w:rsidR="00D61660">
        <w:rPr>
          <w:rFonts w:ascii="Arial" w:hAnsi="Arial" w:cs="Arial"/>
          <w:sz w:val="22"/>
          <w:szCs w:val="22"/>
        </w:rPr>
        <w:t>Es wird</w:t>
      </w:r>
      <w:r w:rsidR="009E7A33">
        <w:rPr>
          <w:rFonts w:ascii="Arial" w:hAnsi="Arial" w:cs="Arial"/>
          <w:sz w:val="22"/>
          <w:szCs w:val="22"/>
        </w:rPr>
        <w:t xml:space="preserve"> </w:t>
      </w:r>
      <w:r w:rsidR="00391DFB">
        <w:rPr>
          <w:rFonts w:ascii="Arial" w:hAnsi="Arial" w:cs="Arial"/>
          <w:sz w:val="22"/>
          <w:szCs w:val="22"/>
        </w:rPr>
        <w:t xml:space="preserve">jedoch </w:t>
      </w:r>
      <w:r w:rsidR="009E7A33">
        <w:rPr>
          <w:rFonts w:ascii="Arial" w:hAnsi="Arial" w:cs="Arial"/>
          <w:sz w:val="22"/>
          <w:szCs w:val="22"/>
        </w:rPr>
        <w:t>mit weiterer finan</w:t>
      </w:r>
      <w:r w:rsidR="00DB5836">
        <w:rPr>
          <w:rFonts w:ascii="Arial" w:hAnsi="Arial" w:cs="Arial"/>
          <w:sz w:val="22"/>
          <w:szCs w:val="22"/>
        </w:rPr>
        <w:t>zieller Unterstützung gerechnet.</w:t>
      </w:r>
    </w:p>
    <w:p w:rsidR="00F01A63" w:rsidRPr="00B053FE" w:rsidRDefault="00DB5836" w:rsidP="00B053FE">
      <w:pPr>
        <w:jc w:val="both"/>
        <w:rPr>
          <w:rFonts w:ascii="Arial" w:hAnsi="Arial" w:cs="Arial"/>
          <w:sz w:val="22"/>
          <w:szCs w:val="22"/>
        </w:rPr>
      </w:pPr>
      <w:r>
        <w:rPr>
          <w:rFonts w:ascii="Arial" w:hAnsi="Arial" w:cs="Arial"/>
          <w:sz w:val="22"/>
          <w:szCs w:val="22"/>
        </w:rPr>
        <w:t xml:space="preserve">Die Überplanmäßige Ausgabe wird durch </w:t>
      </w:r>
      <w:r w:rsidR="00C578B1">
        <w:rPr>
          <w:rFonts w:ascii="Arial" w:hAnsi="Arial" w:cs="Arial"/>
          <w:sz w:val="22"/>
          <w:szCs w:val="22"/>
        </w:rPr>
        <w:t xml:space="preserve">außerplanmäßige Einnahmen </w:t>
      </w:r>
      <w:r w:rsidR="00110500">
        <w:rPr>
          <w:rFonts w:ascii="Arial" w:hAnsi="Arial" w:cs="Arial"/>
          <w:sz w:val="22"/>
          <w:szCs w:val="22"/>
        </w:rPr>
        <w:t xml:space="preserve">im </w:t>
      </w:r>
      <w:r w:rsidR="00D81C3E">
        <w:rPr>
          <w:rFonts w:ascii="Arial" w:hAnsi="Arial" w:cs="Arial"/>
          <w:sz w:val="22"/>
          <w:szCs w:val="22"/>
        </w:rPr>
        <w:t xml:space="preserve">Rahmen der Gewässerunterhaltung </w:t>
      </w:r>
      <w:r w:rsidR="0017526A">
        <w:rPr>
          <w:rFonts w:ascii="Arial" w:hAnsi="Arial" w:cs="Arial"/>
          <w:sz w:val="22"/>
          <w:szCs w:val="22"/>
        </w:rPr>
        <w:t>gedeckt.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3A02C5"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Pr>
          <w:rFonts w:ascii="Arial" w:hAnsi="Arial" w:cs="Arial"/>
          <w:sz w:val="22"/>
          <w:szCs w:val="22"/>
        </w:rPr>
        <w:t>Bürgermeister</w:t>
      </w: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A02F7E" w:rsidRDefault="00A02F7E"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2B13E9">
      <w:pPr>
        <w:jc w:val="both"/>
        <w:rPr>
          <w:rFonts w:ascii="Arial" w:hAnsi="Arial" w:cs="Arial"/>
          <w:sz w:val="22"/>
          <w:szCs w:val="22"/>
        </w:rPr>
      </w:pPr>
    </w:p>
    <w:p w:rsidR="001E4A98" w:rsidRDefault="001E4A98" w:rsidP="001E4A98">
      <w:pPr>
        <w:jc w:val="center"/>
        <w:rPr>
          <w:rFonts w:ascii="Arial" w:hAnsi="Arial" w:cs="Arial"/>
          <w:sz w:val="22"/>
          <w:szCs w:val="22"/>
        </w:rPr>
      </w:pPr>
      <w:r>
        <w:rPr>
          <w:rFonts w:ascii="Arial" w:hAnsi="Arial" w:cs="Arial"/>
          <w:sz w:val="22"/>
          <w:szCs w:val="22"/>
        </w:rPr>
        <w:lastRenderedPageBreak/>
        <w:t>Anlage</w:t>
      </w:r>
    </w:p>
    <w:p w:rsidR="001E4A98" w:rsidRDefault="001E4A98" w:rsidP="001E4A98">
      <w:pPr>
        <w:jc w:val="center"/>
        <w:rPr>
          <w:rFonts w:ascii="Arial" w:hAnsi="Arial" w:cs="Arial"/>
          <w:sz w:val="22"/>
          <w:szCs w:val="22"/>
        </w:rPr>
      </w:pPr>
    </w:p>
    <w:p w:rsidR="001E4A98" w:rsidRDefault="001E4A98" w:rsidP="001E4A98">
      <w:pPr>
        <w:jc w:val="center"/>
        <w:rPr>
          <w:rFonts w:ascii="Arial" w:hAnsi="Arial" w:cs="Arial"/>
          <w:color w:val="FF0000"/>
          <w:sz w:val="22"/>
          <w:szCs w:val="22"/>
        </w:rPr>
      </w:pPr>
      <w:r w:rsidRPr="001E4A98">
        <w:rPr>
          <w:rFonts w:ascii="Arial" w:hAnsi="Arial" w:cs="Arial"/>
          <w:noProof/>
          <w:color w:val="FF0000"/>
          <w:sz w:val="22"/>
          <w:szCs w:val="22"/>
        </w:rPr>
        <w:drawing>
          <wp:inline distT="0" distB="0" distL="0" distR="0">
            <wp:extent cx="6240517" cy="9525000"/>
            <wp:effectExtent l="0" t="0" r="825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7437" cy="9535563"/>
                    </a:xfrm>
                    <a:prstGeom prst="rect">
                      <a:avLst/>
                    </a:prstGeom>
                    <a:noFill/>
                    <a:ln>
                      <a:noFill/>
                    </a:ln>
                  </pic:spPr>
                </pic:pic>
              </a:graphicData>
            </a:graphic>
          </wp:inline>
        </w:drawing>
      </w:r>
    </w:p>
    <w:p w:rsidR="001E4A98" w:rsidRDefault="001E4A98" w:rsidP="001E4A98">
      <w:pPr>
        <w:jc w:val="center"/>
        <w:rPr>
          <w:rFonts w:ascii="Arial" w:hAnsi="Arial" w:cs="Arial"/>
          <w:color w:val="FF0000"/>
          <w:sz w:val="22"/>
          <w:szCs w:val="22"/>
        </w:rPr>
      </w:pPr>
      <w:r w:rsidRPr="001E4A98">
        <w:rPr>
          <w:rFonts w:ascii="Arial" w:hAnsi="Arial" w:cs="Arial"/>
          <w:noProof/>
          <w:color w:val="FF0000"/>
          <w:sz w:val="22"/>
          <w:szCs w:val="22"/>
        </w:rPr>
        <w:lastRenderedPageBreak/>
        <w:drawing>
          <wp:inline distT="0" distB="0" distL="0" distR="0">
            <wp:extent cx="6140705" cy="95059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2046" cy="9523507"/>
                    </a:xfrm>
                    <a:prstGeom prst="rect">
                      <a:avLst/>
                    </a:prstGeom>
                    <a:noFill/>
                    <a:ln>
                      <a:noFill/>
                    </a:ln>
                  </pic:spPr>
                </pic:pic>
              </a:graphicData>
            </a:graphic>
          </wp:inline>
        </w:drawing>
      </w:r>
    </w:p>
    <w:p w:rsidR="001E4A98" w:rsidRDefault="001E4A98" w:rsidP="001E4A98">
      <w:pPr>
        <w:jc w:val="center"/>
        <w:rPr>
          <w:rFonts w:ascii="Arial" w:hAnsi="Arial" w:cs="Arial"/>
          <w:color w:val="FF0000"/>
          <w:sz w:val="22"/>
          <w:szCs w:val="22"/>
        </w:rPr>
      </w:pPr>
    </w:p>
    <w:p w:rsidR="001E4A98" w:rsidRDefault="001E4A98" w:rsidP="001E4A98">
      <w:pPr>
        <w:jc w:val="center"/>
        <w:rPr>
          <w:rFonts w:ascii="Arial" w:hAnsi="Arial" w:cs="Arial"/>
          <w:color w:val="FF0000"/>
          <w:sz w:val="22"/>
          <w:szCs w:val="22"/>
        </w:rPr>
      </w:pPr>
    </w:p>
    <w:p w:rsidR="001E4A98" w:rsidRPr="00947C88" w:rsidRDefault="001E4A98" w:rsidP="001E4A98">
      <w:pPr>
        <w:jc w:val="center"/>
        <w:rPr>
          <w:rFonts w:ascii="Arial" w:hAnsi="Arial" w:cs="Arial"/>
          <w:color w:val="FF0000"/>
          <w:sz w:val="22"/>
          <w:szCs w:val="22"/>
        </w:rPr>
      </w:pPr>
      <w:r w:rsidRPr="001E4A98">
        <w:rPr>
          <w:rFonts w:ascii="Arial" w:hAnsi="Arial" w:cs="Arial"/>
          <w:noProof/>
          <w:color w:val="FF0000"/>
          <w:sz w:val="22"/>
          <w:szCs w:val="22"/>
        </w:rPr>
        <w:lastRenderedPageBreak/>
        <w:drawing>
          <wp:inline distT="0" distB="0" distL="0" distR="0">
            <wp:extent cx="5724995" cy="520065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658" cy="5210336"/>
                    </a:xfrm>
                    <a:prstGeom prst="rect">
                      <a:avLst/>
                    </a:prstGeom>
                    <a:noFill/>
                    <a:ln>
                      <a:noFill/>
                    </a:ln>
                  </pic:spPr>
                </pic:pic>
              </a:graphicData>
            </a:graphic>
          </wp:inline>
        </w:drawing>
      </w:r>
    </w:p>
    <w:sectPr w:rsidR="001E4A98" w:rsidRPr="00947C88"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2"/>
  </w:num>
  <w:num w:numId="4">
    <w:abstractNumId w:val="1"/>
  </w:num>
  <w:num w:numId="5">
    <w:abstractNumId w:val="14"/>
  </w:num>
  <w:num w:numId="6">
    <w:abstractNumId w:val="17"/>
  </w:num>
  <w:num w:numId="7">
    <w:abstractNumId w:val="0"/>
  </w:num>
  <w:num w:numId="8">
    <w:abstractNumId w:val="6"/>
  </w:num>
  <w:num w:numId="9">
    <w:abstractNumId w:val="2"/>
  </w:num>
  <w:num w:numId="10">
    <w:abstractNumId w:val="15"/>
  </w:num>
  <w:num w:numId="11">
    <w:abstractNumId w:val="10"/>
  </w:num>
  <w:num w:numId="12">
    <w:abstractNumId w:val="9"/>
  </w:num>
  <w:num w:numId="13">
    <w:abstractNumId w:val="8"/>
  </w:num>
  <w:num w:numId="14">
    <w:abstractNumId w:val="7"/>
  </w:num>
  <w:num w:numId="15">
    <w:abstractNumId w:val="5"/>
  </w:num>
  <w:num w:numId="16">
    <w:abstractNumId w:val="1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2557D"/>
    <w:rsid w:val="000E3827"/>
    <w:rsid w:val="000F29E7"/>
    <w:rsid w:val="00110500"/>
    <w:rsid w:val="00112AD6"/>
    <w:rsid w:val="00146020"/>
    <w:rsid w:val="001464F5"/>
    <w:rsid w:val="0017526A"/>
    <w:rsid w:val="00181DFD"/>
    <w:rsid w:val="001942B9"/>
    <w:rsid w:val="001E28A4"/>
    <w:rsid w:val="001E4A98"/>
    <w:rsid w:val="001F6B97"/>
    <w:rsid w:val="00283F0D"/>
    <w:rsid w:val="00285611"/>
    <w:rsid w:val="0029540F"/>
    <w:rsid w:val="002A3B56"/>
    <w:rsid w:val="002B13E9"/>
    <w:rsid w:val="002B18F3"/>
    <w:rsid w:val="002C2F42"/>
    <w:rsid w:val="002E2F0D"/>
    <w:rsid w:val="002F6A36"/>
    <w:rsid w:val="00325804"/>
    <w:rsid w:val="0033058C"/>
    <w:rsid w:val="00391DFB"/>
    <w:rsid w:val="003A02C5"/>
    <w:rsid w:val="003C37AD"/>
    <w:rsid w:val="0040399D"/>
    <w:rsid w:val="0041143A"/>
    <w:rsid w:val="004136D3"/>
    <w:rsid w:val="00467A42"/>
    <w:rsid w:val="004727C6"/>
    <w:rsid w:val="004C5930"/>
    <w:rsid w:val="004D3C10"/>
    <w:rsid w:val="004F5F28"/>
    <w:rsid w:val="00501CB0"/>
    <w:rsid w:val="0051799D"/>
    <w:rsid w:val="00553137"/>
    <w:rsid w:val="00586656"/>
    <w:rsid w:val="006167AA"/>
    <w:rsid w:val="00617A25"/>
    <w:rsid w:val="00621F37"/>
    <w:rsid w:val="006B6C28"/>
    <w:rsid w:val="006F1423"/>
    <w:rsid w:val="006F49CB"/>
    <w:rsid w:val="006F5FE4"/>
    <w:rsid w:val="007126E1"/>
    <w:rsid w:val="00755009"/>
    <w:rsid w:val="007A16F7"/>
    <w:rsid w:val="007A26F0"/>
    <w:rsid w:val="007B6DD4"/>
    <w:rsid w:val="007C04D5"/>
    <w:rsid w:val="007E446D"/>
    <w:rsid w:val="00872A22"/>
    <w:rsid w:val="008820D6"/>
    <w:rsid w:val="008A068A"/>
    <w:rsid w:val="008A2385"/>
    <w:rsid w:val="008B14C8"/>
    <w:rsid w:val="008B57EC"/>
    <w:rsid w:val="00912AF8"/>
    <w:rsid w:val="00930E4B"/>
    <w:rsid w:val="00947C88"/>
    <w:rsid w:val="00962954"/>
    <w:rsid w:val="00963D2C"/>
    <w:rsid w:val="0099462F"/>
    <w:rsid w:val="009C7511"/>
    <w:rsid w:val="009E7A33"/>
    <w:rsid w:val="00A02F7E"/>
    <w:rsid w:val="00A15E04"/>
    <w:rsid w:val="00A83FC0"/>
    <w:rsid w:val="00B053FE"/>
    <w:rsid w:val="00B07B58"/>
    <w:rsid w:val="00B56BF6"/>
    <w:rsid w:val="00B71DCD"/>
    <w:rsid w:val="00B926BD"/>
    <w:rsid w:val="00B96589"/>
    <w:rsid w:val="00BB4C26"/>
    <w:rsid w:val="00BC3BAD"/>
    <w:rsid w:val="00C106D5"/>
    <w:rsid w:val="00C53A7F"/>
    <w:rsid w:val="00C578B1"/>
    <w:rsid w:val="00C91AB6"/>
    <w:rsid w:val="00CF4295"/>
    <w:rsid w:val="00D61660"/>
    <w:rsid w:val="00D81C3E"/>
    <w:rsid w:val="00D96021"/>
    <w:rsid w:val="00DB5836"/>
    <w:rsid w:val="00DB6504"/>
    <w:rsid w:val="00DD3080"/>
    <w:rsid w:val="00E17D01"/>
    <w:rsid w:val="00E74104"/>
    <w:rsid w:val="00E86113"/>
    <w:rsid w:val="00F01A63"/>
    <w:rsid w:val="00F91FB5"/>
    <w:rsid w:val="00FD49FD"/>
    <w:rsid w:val="00FE104E"/>
    <w:rsid w:val="00FF21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963220">
      <w:bodyDiv w:val="1"/>
      <w:marLeft w:val="0"/>
      <w:marRight w:val="0"/>
      <w:marTop w:val="0"/>
      <w:marBottom w:val="0"/>
      <w:divBdr>
        <w:top w:val="none" w:sz="0" w:space="0" w:color="auto"/>
        <w:left w:val="none" w:sz="0" w:space="0" w:color="auto"/>
        <w:bottom w:val="none" w:sz="0" w:space="0" w:color="auto"/>
        <w:right w:val="none" w:sz="0" w:space="0" w:color="auto"/>
      </w:divBdr>
    </w:div>
    <w:div w:id="1917090425">
      <w:bodyDiv w:val="1"/>
      <w:marLeft w:val="0"/>
      <w:marRight w:val="0"/>
      <w:marTop w:val="0"/>
      <w:marBottom w:val="0"/>
      <w:divBdr>
        <w:top w:val="none" w:sz="0" w:space="0" w:color="auto"/>
        <w:left w:val="none" w:sz="0" w:space="0" w:color="auto"/>
        <w:bottom w:val="none" w:sz="0" w:space="0" w:color="auto"/>
        <w:right w:val="none" w:sz="0" w:space="0" w:color="auto"/>
      </w:divBdr>
    </w:div>
    <w:div w:id="209731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615</Words>
  <Characters>4642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2019-07-15T11:16:00Z</cp:lastPrinted>
  <dcterms:created xsi:type="dcterms:W3CDTF">2019-07-15T18:29:00Z</dcterms:created>
  <dcterms:modified xsi:type="dcterms:W3CDTF">2019-07-16T12:10:00Z</dcterms:modified>
</cp:coreProperties>
</file>