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DER 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r w:rsidR="00800827">
        <w:rPr>
          <w:rFonts w:ascii="Arial" w:hAnsi="Arial"/>
        </w:rPr>
        <w:t xml:space="preserve">Ellrich, den </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Pr>
          <w:rFonts w:ascii="Arial" w:hAnsi="Arial"/>
          <w:sz w:val="24"/>
        </w:rPr>
        <w:t xml:space="preserve">   </w:t>
      </w:r>
      <w:r w:rsidR="008A7990" w:rsidRPr="008A7990">
        <w:rPr>
          <w:rFonts w:ascii="Arial" w:hAnsi="Arial"/>
          <w:b/>
          <w:sz w:val="40"/>
          <w:szCs w:val="40"/>
        </w:rPr>
        <w:t>163-14/19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181DFD" w:rsidRDefault="00AF3AD2" w:rsidP="002B13E9">
            <w:pPr>
              <w:rPr>
                <w:rFonts w:ascii="Arial" w:hAnsi="Arial"/>
                <w:b/>
                <w:sz w:val="22"/>
                <w:szCs w:val="22"/>
              </w:rPr>
            </w:pPr>
            <w:r>
              <w:rPr>
                <w:rFonts w:ascii="Arial" w:hAnsi="Arial"/>
                <w:b/>
                <w:sz w:val="22"/>
                <w:szCs w:val="22"/>
              </w:rPr>
              <w:t>Neuregelung der Umsatzbesteuerung der öffentlichen Hand – Übergangsregelung zur Anwendung des § 2 b UStG – Optionserkläru</w:t>
            </w:r>
            <w:r w:rsidR="00864880">
              <w:rPr>
                <w:rFonts w:ascii="Arial" w:hAnsi="Arial"/>
                <w:b/>
                <w:sz w:val="22"/>
                <w:szCs w:val="22"/>
              </w:rPr>
              <w:t>ng nach § 27 Absatz 22 Satz 3 US</w:t>
            </w:r>
            <w:r>
              <w:rPr>
                <w:rFonts w:ascii="Arial" w:hAnsi="Arial"/>
                <w:b/>
                <w:sz w:val="22"/>
                <w:szCs w:val="22"/>
              </w:rPr>
              <w:t>tG</w:t>
            </w:r>
          </w:p>
          <w:p w:rsidR="002B13E9" w:rsidRPr="009050F6" w:rsidRDefault="002B13E9"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AF3AD2" w:rsidP="00561A4D">
            <w:pPr>
              <w:jc w:val="both"/>
              <w:rPr>
                <w:rFonts w:ascii="Arial" w:hAnsi="Arial"/>
                <w:sz w:val="22"/>
              </w:rPr>
            </w:pPr>
            <w:r>
              <w:rPr>
                <w:rFonts w:ascii="Arial" w:hAnsi="Arial"/>
                <w:sz w:val="22"/>
              </w:rPr>
              <w:t xml:space="preserve">Der Bürgermeister wird ermächtigt beim Finanzamt Mühlhausen die Optionserklärung </w:t>
            </w:r>
            <w:r w:rsidR="00561A4D">
              <w:rPr>
                <w:rFonts w:ascii="Arial" w:hAnsi="Arial"/>
                <w:sz w:val="22"/>
              </w:rPr>
              <w:t xml:space="preserve">nach § 27 Absatz 22 Satz 3 UStG abzugeben und darin zu erklären, dass die Stadt Ellrich als juristische Person des öffentlichen Rechts  § 2 Absatz 3 UStG in der am 31. Dezember  geltenden Fassung für sämtliche nach dem 31. Dezember 2016 und vor dem 1. Januar 2021 ausgeführten Leistungen weiterhin anwendet. </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ThürKO vom 28.01.2003</w:t>
            </w:r>
            <w:r w:rsidR="00181DFD">
              <w:rPr>
                <w:rFonts w:ascii="Arial" w:hAnsi="Arial"/>
                <w:sz w:val="22"/>
              </w:rPr>
              <w:t xml:space="preserve">,  </w:t>
            </w:r>
            <w:r w:rsidR="0001000A">
              <w:rPr>
                <w:rFonts w:ascii="Arial" w:hAnsi="Arial"/>
                <w:sz w:val="22"/>
              </w:rPr>
              <w:t>zuletzt geändert durch Gesetz vom</w:t>
            </w:r>
            <w:r w:rsidR="007E5E79">
              <w:rPr>
                <w:rFonts w:ascii="Arial" w:hAnsi="Arial"/>
                <w:sz w:val="22"/>
              </w:rPr>
              <w:t xml:space="preserve"> 02.07.2016</w:t>
            </w:r>
            <w:r w:rsidR="000E4F05">
              <w:rPr>
                <w:rFonts w:ascii="Arial" w:hAnsi="Arial"/>
                <w:sz w:val="22"/>
              </w:rPr>
              <w:t xml:space="preserve"> </w:t>
            </w:r>
            <w:r w:rsidR="0001000A">
              <w:rPr>
                <w:rFonts w:ascii="Arial" w:hAnsi="Arial"/>
                <w:sz w:val="22"/>
              </w:rPr>
              <w:t xml:space="preserve">(GVBl. S. </w:t>
            </w:r>
            <w:r w:rsidR="007E5E79">
              <w:rPr>
                <w:rFonts w:ascii="Arial" w:hAnsi="Arial"/>
                <w:sz w:val="22"/>
              </w:rPr>
              <w:t>244</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561A4D" w:rsidP="00E17D01">
            <w:pPr>
              <w:rPr>
                <w:rFonts w:ascii="Arial" w:hAnsi="Arial"/>
                <w:sz w:val="22"/>
              </w:rPr>
            </w:pPr>
            <w:r>
              <w:rPr>
                <w:rFonts w:ascii="Arial" w:hAnsi="Arial"/>
                <w:sz w:val="22"/>
              </w:rPr>
              <w:t>Finanzausschuss:</w:t>
            </w:r>
            <w:r w:rsidR="00574C38">
              <w:rPr>
                <w:rFonts w:ascii="Arial" w:hAnsi="Arial"/>
                <w:sz w:val="22"/>
              </w:rPr>
              <w:t xml:space="preserve"> 19.09.2016</w:t>
            </w:r>
          </w:p>
          <w:p w:rsidR="00561A4D" w:rsidRDefault="00561A4D" w:rsidP="00E17D01">
            <w:pPr>
              <w:rPr>
                <w:rFonts w:ascii="Arial" w:hAnsi="Arial"/>
                <w:sz w:val="22"/>
              </w:rPr>
            </w:pPr>
            <w:r>
              <w:rPr>
                <w:rFonts w:ascii="Arial" w:hAnsi="Arial"/>
                <w:sz w:val="22"/>
              </w:rPr>
              <w:t>Hauptausschuss:</w:t>
            </w:r>
            <w:r w:rsidR="00574C38">
              <w:rPr>
                <w:rFonts w:ascii="Arial" w:hAnsi="Arial"/>
                <w:sz w:val="22"/>
              </w:rPr>
              <w:t xml:space="preserve"> 26.09.2016</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574C38" w:rsidRDefault="00574C38" w:rsidP="002B13E9">
            <w:pPr>
              <w:rPr>
                <w:rFonts w:ascii="Arial" w:hAnsi="Arial"/>
                <w:sz w:val="16"/>
                <w:szCs w:val="16"/>
              </w:rPr>
            </w:pPr>
          </w:p>
          <w:p w:rsidR="00574C38" w:rsidRPr="009050F6" w:rsidRDefault="00574C38"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8A7990" w:rsidRDefault="002B13E9" w:rsidP="002B13E9">
      <w:pPr>
        <w:outlineLvl w:val="0"/>
        <w:rPr>
          <w:rFonts w:ascii="Arial" w:hAnsi="Arial" w:cs="Arial"/>
          <w:b/>
          <w:sz w:val="40"/>
          <w:szCs w:val="40"/>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8A7990">
        <w:rPr>
          <w:rFonts w:ascii="Arial" w:hAnsi="Arial" w:cs="Arial"/>
          <w:b/>
        </w:rPr>
        <w:t xml:space="preserve">  </w:t>
      </w:r>
      <w:r w:rsidR="008A7990" w:rsidRPr="008A7990">
        <w:rPr>
          <w:rFonts w:ascii="Arial" w:hAnsi="Arial" w:cs="Arial"/>
          <w:b/>
          <w:sz w:val="40"/>
          <w:szCs w:val="40"/>
        </w:rPr>
        <w:t>163-14/19</w:t>
      </w:r>
    </w:p>
    <w:p w:rsidR="002B13E9" w:rsidRDefault="002B13E9"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561A4D"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r w:rsidR="00561A4D">
        <w:rPr>
          <w:rFonts w:ascii="Arial" w:hAnsi="Arial" w:cs="Arial"/>
          <w:b/>
          <w:sz w:val="24"/>
          <w:szCs w:val="24"/>
          <w:u w:val="single"/>
        </w:rPr>
        <w:t xml:space="preserve"> </w:t>
      </w:r>
    </w:p>
    <w:p w:rsidR="00561A4D" w:rsidRDefault="00561A4D" w:rsidP="002B13E9">
      <w:pPr>
        <w:outlineLvl w:val="0"/>
        <w:rPr>
          <w:rFonts w:ascii="Arial" w:hAnsi="Arial" w:cs="Arial"/>
          <w:b/>
          <w:sz w:val="24"/>
          <w:szCs w:val="24"/>
          <w:u w:val="single"/>
        </w:rPr>
      </w:pPr>
    </w:p>
    <w:p w:rsidR="002B13E9" w:rsidRPr="00561A4D" w:rsidRDefault="00561A4D" w:rsidP="002B13E9">
      <w:pPr>
        <w:outlineLvl w:val="0"/>
        <w:rPr>
          <w:rFonts w:ascii="Arial" w:hAnsi="Arial" w:cs="Arial"/>
          <w:b/>
          <w:sz w:val="24"/>
          <w:szCs w:val="24"/>
          <w:u w:val="single"/>
        </w:rPr>
      </w:pPr>
      <w:r w:rsidRPr="00561A4D">
        <w:rPr>
          <w:rFonts w:ascii="Arial" w:hAnsi="Arial"/>
          <w:sz w:val="24"/>
          <w:szCs w:val="24"/>
        </w:rPr>
        <w:t>Der Bürgermeister wird ermächtigt beim Finanzamt Mühlhausen die Optionserklärung nach § 27 Absatz 22 Satz 3 UStG abzugeben und darin zu erklären, dass die Stadt Ellrich als juristische Person des öffentlichen Rechts  § 2 Absatz 3 UStG in der am 31. Dezember  geltenden Fassung für sämtliche nach dem 31. Dezember 2016 und vor dem 1. Januar 2021 ausgeführten Leistungen weiterhin anwendet.</w:t>
      </w:r>
    </w:p>
    <w:p w:rsidR="002B13E9" w:rsidRPr="00BB4C26" w:rsidRDefault="002B13E9" w:rsidP="002B13E9">
      <w:pPr>
        <w:rPr>
          <w:rFonts w:ascii="Arial" w:hAnsi="Arial" w:cs="Arial"/>
          <w:b/>
          <w:sz w:val="22"/>
          <w:szCs w:val="22"/>
        </w:rPr>
      </w:pPr>
    </w:p>
    <w:p w:rsidR="00E52CA6" w:rsidRPr="008A2385" w:rsidRDefault="00E52CA6" w:rsidP="002B13E9">
      <w:pPr>
        <w:rPr>
          <w:rFonts w:ascii="Arial" w:hAnsi="Arial" w:cs="Arial"/>
          <w:sz w:val="22"/>
          <w:szCs w:val="22"/>
        </w:rPr>
      </w:pPr>
    </w:p>
    <w:p w:rsidR="003F3FBE" w:rsidRDefault="002B13E9" w:rsidP="00800827">
      <w:pPr>
        <w:outlineLvl w:val="0"/>
        <w:rPr>
          <w:rFonts w:ascii="Arial" w:hAnsi="Arial" w:cs="Arial"/>
          <w:b/>
          <w:sz w:val="24"/>
          <w:szCs w:val="24"/>
          <w:u w:val="single"/>
        </w:rPr>
      </w:pPr>
      <w:r w:rsidRPr="008A2385">
        <w:rPr>
          <w:rFonts w:ascii="Arial" w:hAnsi="Arial" w:cs="Arial"/>
          <w:b/>
          <w:sz w:val="24"/>
          <w:szCs w:val="24"/>
          <w:u w:val="single"/>
        </w:rPr>
        <w:t>Begründung:</w:t>
      </w:r>
      <w:r w:rsidR="00561A4D">
        <w:rPr>
          <w:rFonts w:ascii="Arial" w:hAnsi="Arial" w:cs="Arial"/>
          <w:b/>
          <w:sz w:val="24"/>
          <w:szCs w:val="24"/>
          <w:u w:val="single"/>
        </w:rPr>
        <w:t xml:space="preserve">  </w:t>
      </w:r>
    </w:p>
    <w:p w:rsidR="003F3FBE" w:rsidRDefault="003F3FBE" w:rsidP="00800827">
      <w:pPr>
        <w:outlineLvl w:val="0"/>
        <w:rPr>
          <w:rFonts w:ascii="Arial" w:hAnsi="Arial" w:cs="Arial"/>
          <w:b/>
          <w:sz w:val="24"/>
          <w:szCs w:val="24"/>
          <w:u w:val="single"/>
        </w:rPr>
      </w:pPr>
    </w:p>
    <w:p w:rsidR="00864880" w:rsidRDefault="00561A4D" w:rsidP="00800827">
      <w:pPr>
        <w:outlineLvl w:val="0"/>
        <w:rPr>
          <w:rFonts w:ascii="Arial" w:hAnsi="Arial" w:cs="Arial"/>
          <w:sz w:val="24"/>
          <w:szCs w:val="24"/>
        </w:rPr>
      </w:pPr>
      <w:r>
        <w:rPr>
          <w:rFonts w:ascii="Arial" w:hAnsi="Arial" w:cs="Arial"/>
          <w:sz w:val="24"/>
          <w:szCs w:val="24"/>
        </w:rPr>
        <w:t xml:space="preserve">Die Umsatzbesteuerung juristischer Personen des öffentlichen Rechts und damit auch der Kommunen wurde mit Wirkung zum 01.01.2017 völlig neu konzipiert und an europäisches Recht </w:t>
      </w:r>
      <w:r w:rsidR="003F3FBE">
        <w:rPr>
          <w:rFonts w:ascii="Arial" w:hAnsi="Arial" w:cs="Arial"/>
          <w:sz w:val="24"/>
          <w:szCs w:val="24"/>
        </w:rPr>
        <w:t xml:space="preserve">angepasst. </w:t>
      </w:r>
      <w:r w:rsidR="00864880">
        <w:rPr>
          <w:rFonts w:ascii="Arial" w:hAnsi="Arial" w:cs="Arial"/>
          <w:sz w:val="24"/>
          <w:szCs w:val="24"/>
        </w:rPr>
        <w:t xml:space="preserve">Der bislang maßgebliche § 2 Abs. 3 UStG wurde ersatzlos gestrichen, an seine Stelle tritt der neue § 2b UStG. </w:t>
      </w:r>
    </w:p>
    <w:p w:rsidR="00864880" w:rsidRDefault="00864880" w:rsidP="00800827">
      <w:pPr>
        <w:outlineLvl w:val="0"/>
        <w:rPr>
          <w:rFonts w:ascii="Arial" w:hAnsi="Arial" w:cs="Arial"/>
          <w:sz w:val="24"/>
          <w:szCs w:val="24"/>
        </w:rPr>
      </w:pPr>
    </w:p>
    <w:p w:rsidR="00864880" w:rsidRDefault="00864880" w:rsidP="00800827">
      <w:pPr>
        <w:outlineLvl w:val="0"/>
        <w:rPr>
          <w:rFonts w:ascii="Arial" w:hAnsi="Arial" w:cs="Arial"/>
          <w:sz w:val="24"/>
          <w:szCs w:val="24"/>
        </w:rPr>
      </w:pPr>
      <w:r>
        <w:rPr>
          <w:rFonts w:ascii="Arial" w:hAnsi="Arial" w:cs="Arial"/>
          <w:sz w:val="24"/>
          <w:szCs w:val="24"/>
        </w:rPr>
        <w:t>Ob die Tätigkeiten einer juristischen Person des öffentlichen Rechts der  Umsatzsteuerpflicht unterliegen, hängt davon ab, ob ihr die Tätigkeiten im Rahmen der öffentlichen Gewalt obliegen oder ob sie auf einer privatrechtlichen Grundlage erfolgen. Die bisherige Vorschrift des § 2 Abs. 3 UStG knüpfte die umsatzsteuerliche Unternehmereigenschaft einer juristischen Person des öffentlichen Rechts im Wesentlichen daran, dass ein Betrieb gewerblicher Art (</w:t>
      </w:r>
      <w:proofErr w:type="spellStart"/>
      <w:r>
        <w:rPr>
          <w:rFonts w:ascii="Arial" w:hAnsi="Arial" w:cs="Arial"/>
          <w:sz w:val="24"/>
          <w:szCs w:val="24"/>
        </w:rPr>
        <w:t>BgA</w:t>
      </w:r>
      <w:proofErr w:type="spellEnd"/>
      <w:r>
        <w:rPr>
          <w:rFonts w:ascii="Arial" w:hAnsi="Arial" w:cs="Arial"/>
          <w:sz w:val="24"/>
          <w:szCs w:val="24"/>
        </w:rPr>
        <w:t>) im Sinne das § 4 Körperschaftssteuergesetz bzw. ein land- oder forstwirtschaftlicher Betrieb unterhalten wird.</w:t>
      </w:r>
      <w:r w:rsidR="00C34DF7">
        <w:rPr>
          <w:rFonts w:ascii="Arial" w:hAnsi="Arial" w:cs="Arial"/>
          <w:sz w:val="24"/>
          <w:szCs w:val="24"/>
        </w:rPr>
        <w:t xml:space="preserve"> Daraus folgte im Umkehrschluss, dass der Bereich der Vermögensverwaltung keine umsatzsteuerpflichtige Betätigung darstellte. Künftig wird die auf privatrechtlicher Grundlage erfolgende Tätigkeit einer juristischen Person des öffentlichen Rechts, und damit auch die klassische Vermögensverwaltung, grundsätzlich eine unternehmerische Betätigung, die Umsatzsteuerpflichten auslöst, sofern nicht besondere Steuerbefreiungsvorschriften in Frage kommen.</w:t>
      </w:r>
    </w:p>
    <w:p w:rsidR="00C34DF7" w:rsidRDefault="00C34DF7" w:rsidP="00800827">
      <w:pPr>
        <w:outlineLvl w:val="0"/>
        <w:rPr>
          <w:rFonts w:ascii="Arial" w:hAnsi="Arial" w:cs="Arial"/>
          <w:sz w:val="24"/>
          <w:szCs w:val="24"/>
        </w:rPr>
      </w:pPr>
    </w:p>
    <w:p w:rsidR="00C34DF7" w:rsidRDefault="00561A4D" w:rsidP="00800827">
      <w:pPr>
        <w:outlineLvl w:val="0"/>
        <w:rPr>
          <w:rFonts w:ascii="Arial" w:hAnsi="Arial" w:cs="Arial"/>
          <w:sz w:val="24"/>
          <w:szCs w:val="24"/>
        </w:rPr>
      </w:pPr>
      <w:r>
        <w:rPr>
          <w:rFonts w:ascii="Arial" w:hAnsi="Arial" w:cs="Arial"/>
          <w:sz w:val="24"/>
          <w:szCs w:val="24"/>
        </w:rPr>
        <w:t>An die Stelle des Bezugs zum ertragssteuerlichen Betrieb gewerblicher Art (</w:t>
      </w:r>
      <w:proofErr w:type="spellStart"/>
      <w:r>
        <w:rPr>
          <w:rFonts w:ascii="Arial" w:hAnsi="Arial" w:cs="Arial"/>
          <w:sz w:val="24"/>
          <w:szCs w:val="24"/>
        </w:rPr>
        <w:t>BgA</w:t>
      </w:r>
      <w:proofErr w:type="spellEnd"/>
      <w:r>
        <w:rPr>
          <w:rFonts w:ascii="Arial" w:hAnsi="Arial" w:cs="Arial"/>
          <w:sz w:val="24"/>
          <w:szCs w:val="24"/>
        </w:rPr>
        <w:t xml:space="preserve">) tritt eine wettbewerbsrechtliche Betrachtung. </w:t>
      </w:r>
    </w:p>
    <w:p w:rsidR="00C34DF7" w:rsidRDefault="00C34DF7" w:rsidP="00800827">
      <w:pPr>
        <w:outlineLvl w:val="0"/>
        <w:rPr>
          <w:rFonts w:ascii="Arial" w:hAnsi="Arial" w:cs="Arial"/>
          <w:sz w:val="24"/>
          <w:szCs w:val="24"/>
        </w:rPr>
      </w:pPr>
    </w:p>
    <w:p w:rsidR="00561A4D" w:rsidRDefault="00561A4D" w:rsidP="00800827">
      <w:pPr>
        <w:outlineLvl w:val="0"/>
        <w:rPr>
          <w:rFonts w:ascii="Arial" w:hAnsi="Arial" w:cs="Arial"/>
          <w:sz w:val="24"/>
          <w:szCs w:val="24"/>
        </w:rPr>
      </w:pPr>
      <w:r>
        <w:rPr>
          <w:rFonts w:ascii="Arial" w:hAnsi="Arial" w:cs="Arial"/>
          <w:sz w:val="24"/>
          <w:szCs w:val="24"/>
        </w:rPr>
        <w:t xml:space="preserve">Eine Übergangsregelung </w:t>
      </w:r>
      <w:r w:rsidR="003F3FBE">
        <w:rPr>
          <w:rFonts w:ascii="Arial" w:hAnsi="Arial" w:cs="Arial"/>
          <w:sz w:val="24"/>
          <w:szCs w:val="24"/>
        </w:rPr>
        <w:t xml:space="preserve">gewährt das Wahlrecht, bis Ende 2020 noch das alte Recht anzuwenden. Diese Erklärung, dass </w:t>
      </w:r>
      <w:proofErr w:type="gramStart"/>
      <w:r w:rsidR="003F3FBE">
        <w:rPr>
          <w:rFonts w:ascii="Arial" w:hAnsi="Arial" w:cs="Arial"/>
          <w:sz w:val="24"/>
          <w:szCs w:val="24"/>
        </w:rPr>
        <w:t>alte</w:t>
      </w:r>
      <w:proofErr w:type="gramEnd"/>
      <w:r w:rsidR="003F3FBE">
        <w:rPr>
          <w:rFonts w:ascii="Arial" w:hAnsi="Arial" w:cs="Arial"/>
          <w:sz w:val="24"/>
          <w:szCs w:val="24"/>
        </w:rPr>
        <w:t xml:space="preserve"> Recht anzuwenden</w:t>
      </w:r>
      <w:r w:rsidR="00043426">
        <w:rPr>
          <w:rFonts w:ascii="Arial" w:hAnsi="Arial" w:cs="Arial"/>
          <w:sz w:val="24"/>
          <w:szCs w:val="24"/>
        </w:rPr>
        <w:t>, i</w:t>
      </w:r>
      <w:r w:rsidR="003F3FBE">
        <w:rPr>
          <w:rFonts w:ascii="Arial" w:hAnsi="Arial" w:cs="Arial"/>
          <w:sz w:val="24"/>
          <w:szCs w:val="24"/>
        </w:rPr>
        <w:t>st bis zum 31.12.2016 beim zuständigen Finanzamt abzugeben.</w:t>
      </w:r>
      <w:r w:rsidR="00043426">
        <w:rPr>
          <w:rFonts w:ascii="Arial" w:hAnsi="Arial" w:cs="Arial"/>
          <w:sz w:val="24"/>
          <w:szCs w:val="24"/>
        </w:rPr>
        <w:t xml:space="preserve"> Es handelt sich um eine nicht verlängerbare Ausschlussfrist.</w:t>
      </w:r>
    </w:p>
    <w:p w:rsidR="00043426" w:rsidRDefault="00043426" w:rsidP="00800827">
      <w:pPr>
        <w:outlineLvl w:val="0"/>
        <w:rPr>
          <w:rFonts w:ascii="Arial" w:hAnsi="Arial" w:cs="Arial"/>
          <w:sz w:val="24"/>
          <w:szCs w:val="24"/>
        </w:rPr>
      </w:pPr>
    </w:p>
    <w:p w:rsidR="00043426" w:rsidRDefault="00043426" w:rsidP="00800827">
      <w:pPr>
        <w:outlineLvl w:val="0"/>
        <w:rPr>
          <w:rFonts w:ascii="Arial" w:hAnsi="Arial" w:cs="Arial"/>
          <w:sz w:val="24"/>
          <w:szCs w:val="24"/>
        </w:rPr>
      </w:pPr>
      <w:r>
        <w:rPr>
          <w:rFonts w:ascii="Arial" w:hAnsi="Arial" w:cs="Arial"/>
          <w:sz w:val="24"/>
          <w:szCs w:val="24"/>
        </w:rPr>
        <w:t>Die Optionserklärung kann nur mit Wirkung vom Beginn eines auf die Abgabe folgenden Kalenderjahres an widerrufen werden. Nach dem Widerruf ist die Abgabe einer erneuten Optionserklärung ausgeschlossen.</w:t>
      </w:r>
      <w:r w:rsidR="00C34DF7">
        <w:rPr>
          <w:rFonts w:ascii="Arial" w:hAnsi="Arial" w:cs="Arial"/>
          <w:sz w:val="24"/>
          <w:szCs w:val="24"/>
        </w:rPr>
        <w:t xml:space="preserve"> Die Optionserklärung ist für sämtliche ausgeübten Tätigkeiten einheitlich abzugeben. Eine Beschränkung auf einzelne Tätigkeitsbereiche oder Leistungen ist nicht zulässig.</w:t>
      </w:r>
    </w:p>
    <w:p w:rsidR="00043426" w:rsidRDefault="00043426" w:rsidP="00800827">
      <w:pPr>
        <w:outlineLvl w:val="0"/>
        <w:rPr>
          <w:rFonts w:ascii="Arial" w:hAnsi="Arial" w:cs="Arial"/>
          <w:sz w:val="24"/>
          <w:szCs w:val="24"/>
        </w:rPr>
      </w:pPr>
    </w:p>
    <w:p w:rsidR="00043426" w:rsidRPr="00561A4D" w:rsidRDefault="00043426" w:rsidP="00800827">
      <w:pPr>
        <w:outlineLvl w:val="0"/>
        <w:rPr>
          <w:rFonts w:ascii="Arial" w:hAnsi="Arial" w:cs="Arial"/>
          <w:sz w:val="24"/>
          <w:szCs w:val="24"/>
        </w:rPr>
      </w:pPr>
      <w:r>
        <w:rPr>
          <w:rFonts w:ascii="Arial" w:hAnsi="Arial" w:cs="Arial"/>
          <w:sz w:val="24"/>
          <w:szCs w:val="24"/>
        </w:rPr>
        <w:t xml:space="preserve">Der Stadt Ellrich entstehen, nach derzeitigem Kenntnisstand keine finanziellen Vor- bzw. Nachteile aus der Abgabe der Optionserklärung. </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Pr="003F3FBE" w:rsidRDefault="0029540F" w:rsidP="002B13E9">
      <w:pPr>
        <w:jc w:val="both"/>
        <w:rPr>
          <w:rFonts w:ascii="Arial" w:hAnsi="Arial" w:cs="Arial"/>
          <w:sz w:val="24"/>
          <w:szCs w:val="24"/>
        </w:rPr>
      </w:pPr>
    </w:p>
    <w:p w:rsidR="0029540F" w:rsidRPr="003F3FBE" w:rsidRDefault="0029540F" w:rsidP="002B13E9">
      <w:pPr>
        <w:jc w:val="both"/>
        <w:rPr>
          <w:rFonts w:ascii="Arial" w:hAnsi="Arial" w:cs="Arial"/>
          <w:sz w:val="24"/>
          <w:szCs w:val="24"/>
        </w:rPr>
      </w:pPr>
      <w:r w:rsidRPr="003F3FBE">
        <w:rPr>
          <w:rFonts w:ascii="Arial" w:hAnsi="Arial" w:cs="Arial"/>
          <w:sz w:val="24"/>
          <w:szCs w:val="24"/>
        </w:rPr>
        <w:t>Matthias Ehrhold</w:t>
      </w:r>
    </w:p>
    <w:p w:rsidR="0029540F" w:rsidRDefault="0029540F" w:rsidP="002B13E9">
      <w:pPr>
        <w:jc w:val="both"/>
        <w:rPr>
          <w:rFonts w:ascii="Arial" w:hAnsi="Arial" w:cs="Arial"/>
          <w:sz w:val="24"/>
          <w:szCs w:val="24"/>
        </w:rPr>
      </w:pPr>
      <w:r w:rsidRPr="003F3FBE">
        <w:rPr>
          <w:rFonts w:ascii="Arial" w:hAnsi="Arial" w:cs="Arial"/>
          <w:sz w:val="24"/>
          <w:szCs w:val="24"/>
        </w:rPr>
        <w:t>Bürgermeister</w:t>
      </w:r>
    </w:p>
    <w:p w:rsidR="008A7990" w:rsidRDefault="008A7990" w:rsidP="002B13E9">
      <w:pPr>
        <w:jc w:val="both"/>
        <w:rPr>
          <w:rFonts w:ascii="Arial" w:hAnsi="Arial" w:cs="Arial"/>
          <w:sz w:val="24"/>
          <w:szCs w:val="24"/>
        </w:rPr>
      </w:pPr>
    </w:p>
    <w:p w:rsidR="008A7990" w:rsidRDefault="008A7990" w:rsidP="002B13E9">
      <w:pPr>
        <w:jc w:val="both"/>
        <w:rPr>
          <w:rFonts w:ascii="Arial" w:hAnsi="Arial" w:cs="Arial"/>
          <w:sz w:val="24"/>
          <w:szCs w:val="24"/>
        </w:rPr>
      </w:pPr>
      <w:r>
        <w:rPr>
          <w:noProof/>
        </w:rPr>
        <w:lastRenderedPageBreak/>
        <w:drawing>
          <wp:anchor distT="0" distB="0" distL="114300" distR="114300" simplePos="0" relativeHeight="251659264" behindDoc="0" locked="0" layoutInCell="1" allowOverlap="0" wp14:anchorId="3E78C4E5" wp14:editId="3A265ECE">
            <wp:simplePos x="0" y="0"/>
            <wp:positionH relativeFrom="page">
              <wp:align>right</wp:align>
            </wp:positionH>
            <wp:positionV relativeFrom="page">
              <wp:posOffset>1095375</wp:posOffset>
            </wp:positionV>
            <wp:extent cx="10688955" cy="7559040"/>
            <wp:effectExtent l="2858" t="16192" r="952" b="953"/>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
                    <a:stretch>
                      <a:fillRect/>
                    </a:stretch>
                  </pic:blipFill>
                  <pic:spPr>
                    <a:xfrm rot="-5399998">
                      <a:off x="0" y="0"/>
                      <a:ext cx="10688955" cy="7559040"/>
                    </a:xfrm>
                    <a:prstGeom prst="rect">
                      <a:avLst/>
                    </a:prstGeom>
                  </pic:spPr>
                </pic:pic>
              </a:graphicData>
            </a:graphic>
          </wp:anchor>
        </w:drawing>
      </w:r>
    </w:p>
    <w:p w:rsidR="008A7990" w:rsidRDefault="008A7990">
      <w:pPr>
        <w:ind w:left="-1440" w:right="10464"/>
      </w:pPr>
      <w:r>
        <w:rPr>
          <w:noProof/>
        </w:rPr>
        <w:lastRenderedPageBreak/>
        <w:drawing>
          <wp:anchor distT="0" distB="0" distL="114300" distR="114300" simplePos="0" relativeHeight="251660288" behindDoc="0" locked="0" layoutInCell="1" allowOverlap="0" wp14:anchorId="67DFEBAF" wp14:editId="146192EF">
            <wp:simplePos x="0" y="0"/>
            <wp:positionH relativeFrom="page">
              <wp:posOffset>-1628775</wp:posOffset>
            </wp:positionH>
            <wp:positionV relativeFrom="page">
              <wp:align>top</wp:align>
            </wp:positionV>
            <wp:extent cx="10688955" cy="7559040"/>
            <wp:effectExtent l="2858" t="16192" r="952" b="953"/>
            <wp:wrapTopAndBottom/>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
                    <a:stretch>
                      <a:fillRect/>
                    </a:stretch>
                  </pic:blipFill>
                  <pic:spPr>
                    <a:xfrm rot="-5399998">
                      <a:off x="0" y="0"/>
                      <a:ext cx="10688955" cy="7559040"/>
                    </a:xfrm>
                    <a:prstGeom prst="rect">
                      <a:avLst/>
                    </a:prstGeom>
                  </pic:spPr>
                </pic:pic>
              </a:graphicData>
            </a:graphic>
          </wp:anchor>
        </w:drawing>
      </w:r>
      <w:r>
        <w:br w:type="page"/>
      </w:r>
    </w:p>
    <w:p w:rsidR="008A7990" w:rsidRDefault="008A7990">
      <w:pPr>
        <w:ind w:left="-1440" w:right="10464"/>
      </w:pPr>
      <w:r>
        <w:rPr>
          <w:noProof/>
        </w:rPr>
        <w:lastRenderedPageBreak/>
        <w:drawing>
          <wp:anchor distT="0" distB="0" distL="114300" distR="114300" simplePos="0" relativeHeight="251661312" behindDoc="0" locked="0" layoutInCell="1" allowOverlap="0" wp14:anchorId="6AE52C5D" wp14:editId="74E3E0E5">
            <wp:simplePos x="0" y="0"/>
            <wp:positionH relativeFrom="page">
              <wp:align>left</wp:align>
            </wp:positionH>
            <wp:positionV relativeFrom="margin">
              <wp:align>top</wp:align>
            </wp:positionV>
            <wp:extent cx="10688955" cy="7559040"/>
            <wp:effectExtent l="2858" t="16192" r="952" b="953"/>
            <wp:wrapTopAndBottom/>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8"/>
                    <a:stretch>
                      <a:fillRect/>
                    </a:stretch>
                  </pic:blipFill>
                  <pic:spPr>
                    <a:xfrm rot="-5399998">
                      <a:off x="0" y="0"/>
                      <a:ext cx="10688955" cy="7559040"/>
                    </a:xfrm>
                    <a:prstGeom prst="rect">
                      <a:avLst/>
                    </a:prstGeom>
                  </pic:spPr>
                </pic:pic>
              </a:graphicData>
            </a:graphic>
          </wp:anchor>
        </w:drawing>
      </w:r>
      <w:r>
        <w:br w:type="page"/>
      </w:r>
    </w:p>
    <w:p w:rsidR="008A7990" w:rsidRDefault="008A7990">
      <w:pPr>
        <w:ind w:left="-1440" w:right="10464"/>
      </w:pPr>
      <w:r>
        <w:rPr>
          <w:noProof/>
        </w:rPr>
        <w:lastRenderedPageBreak/>
        <w:drawing>
          <wp:anchor distT="0" distB="0" distL="114300" distR="114300" simplePos="0" relativeHeight="251663360" behindDoc="0" locked="0" layoutInCell="1" allowOverlap="0" wp14:anchorId="1FE000E1" wp14:editId="6F8E6B49">
            <wp:simplePos x="0" y="0"/>
            <wp:positionH relativeFrom="margin">
              <wp:posOffset>-2236470</wp:posOffset>
            </wp:positionH>
            <wp:positionV relativeFrom="margin">
              <wp:posOffset>1229360</wp:posOffset>
            </wp:positionV>
            <wp:extent cx="10688955" cy="7559040"/>
            <wp:effectExtent l="2858" t="16192" r="952" b="953"/>
            <wp:wrapTopAndBottom/>
            <wp:docPr id="2"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stretch>
                      <a:fillRect/>
                    </a:stretch>
                  </pic:blipFill>
                  <pic:spPr>
                    <a:xfrm rot="-5399998">
                      <a:off x="0" y="0"/>
                      <a:ext cx="10688955" cy="7559040"/>
                    </a:xfrm>
                    <a:prstGeom prst="rect">
                      <a:avLst/>
                    </a:prstGeom>
                  </pic:spPr>
                </pic:pic>
              </a:graphicData>
            </a:graphic>
          </wp:anchor>
        </w:drawing>
      </w:r>
    </w:p>
    <w:p w:rsidR="008A7990" w:rsidRDefault="008A7990">
      <w:pPr>
        <w:ind w:left="-1440" w:right="10464"/>
      </w:pPr>
      <w:r>
        <w:rPr>
          <w:noProof/>
        </w:rPr>
        <w:lastRenderedPageBreak/>
        <w:drawing>
          <wp:anchor distT="0" distB="0" distL="114300" distR="114300" simplePos="0" relativeHeight="251664384" behindDoc="0" locked="0" layoutInCell="1" allowOverlap="0" wp14:anchorId="070D9813" wp14:editId="2F8FBEFC">
            <wp:simplePos x="0" y="0"/>
            <wp:positionH relativeFrom="page">
              <wp:align>left</wp:align>
            </wp:positionH>
            <wp:positionV relativeFrom="margin">
              <wp:posOffset>1323340</wp:posOffset>
            </wp:positionV>
            <wp:extent cx="10688955" cy="7559040"/>
            <wp:effectExtent l="2858" t="16192" r="952" b="953"/>
            <wp:wrapTopAndBottom/>
            <wp:docPr id="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
                    <a:stretch>
                      <a:fillRect/>
                    </a:stretch>
                  </pic:blipFill>
                  <pic:spPr>
                    <a:xfrm rot="-5399998">
                      <a:off x="0" y="0"/>
                      <a:ext cx="10688955" cy="7559040"/>
                    </a:xfrm>
                    <a:prstGeom prst="rect">
                      <a:avLst/>
                    </a:prstGeom>
                  </pic:spPr>
                </pic:pic>
              </a:graphicData>
            </a:graphic>
          </wp:anchor>
        </w:drawing>
      </w:r>
      <w:r>
        <w:br w:type="page"/>
      </w:r>
    </w:p>
    <w:p w:rsidR="008A7990" w:rsidRDefault="008A7990">
      <w:pPr>
        <w:ind w:left="-1440" w:right="10464"/>
      </w:pPr>
      <w:r>
        <w:rPr>
          <w:noProof/>
        </w:rPr>
        <w:lastRenderedPageBreak/>
        <w:drawing>
          <wp:anchor distT="0" distB="0" distL="114300" distR="114300" simplePos="0" relativeHeight="251665408" behindDoc="0" locked="0" layoutInCell="1" allowOverlap="0" wp14:anchorId="21B07988" wp14:editId="0A331340">
            <wp:simplePos x="0" y="0"/>
            <wp:positionH relativeFrom="page">
              <wp:align>left</wp:align>
            </wp:positionH>
            <wp:positionV relativeFrom="page">
              <wp:posOffset>1608455</wp:posOffset>
            </wp:positionV>
            <wp:extent cx="10688955" cy="7559040"/>
            <wp:effectExtent l="2858" t="16192" r="952" b="953"/>
            <wp:wrapTopAndBottom/>
            <wp:docPr id="4"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stretch>
                      <a:fillRect/>
                    </a:stretch>
                  </pic:blipFill>
                  <pic:spPr>
                    <a:xfrm rot="-5399998">
                      <a:off x="0" y="0"/>
                      <a:ext cx="10688955" cy="7559040"/>
                    </a:xfrm>
                    <a:prstGeom prst="rect">
                      <a:avLst/>
                    </a:prstGeom>
                  </pic:spPr>
                </pic:pic>
              </a:graphicData>
            </a:graphic>
          </wp:anchor>
        </w:drawing>
      </w:r>
      <w:r>
        <w:br w:type="page"/>
      </w:r>
    </w:p>
    <w:p w:rsidR="008A7990" w:rsidRDefault="008A7990">
      <w:pPr>
        <w:ind w:left="-1440" w:right="10464"/>
      </w:pPr>
      <w:r>
        <w:rPr>
          <w:noProof/>
        </w:rPr>
        <w:lastRenderedPageBreak/>
        <w:drawing>
          <wp:anchor distT="0" distB="0" distL="114300" distR="114300" simplePos="0" relativeHeight="251666432" behindDoc="0" locked="0" layoutInCell="1" allowOverlap="0" wp14:anchorId="58992BE0" wp14:editId="073514B5">
            <wp:simplePos x="0" y="0"/>
            <wp:positionH relativeFrom="page">
              <wp:align>right</wp:align>
            </wp:positionH>
            <wp:positionV relativeFrom="page">
              <wp:align>top</wp:align>
            </wp:positionV>
            <wp:extent cx="10688955" cy="7559040"/>
            <wp:effectExtent l="2858" t="16192" r="952" b="953"/>
            <wp:wrapTopAndBottom/>
            <wp:docPr id="19"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2"/>
                    <a:stretch>
                      <a:fillRect/>
                    </a:stretch>
                  </pic:blipFill>
                  <pic:spPr>
                    <a:xfrm rot="-5399998">
                      <a:off x="0" y="0"/>
                      <a:ext cx="10688955" cy="7559040"/>
                    </a:xfrm>
                    <a:prstGeom prst="rect">
                      <a:avLst/>
                    </a:prstGeom>
                  </pic:spPr>
                </pic:pic>
              </a:graphicData>
            </a:graphic>
          </wp:anchor>
        </w:drawing>
      </w:r>
      <w:r>
        <w:br w:type="page"/>
      </w:r>
    </w:p>
    <w:p w:rsidR="008A7990" w:rsidRPr="008A7990" w:rsidRDefault="008A7990" w:rsidP="008A7990">
      <w:pPr>
        <w:ind w:right="10464"/>
      </w:pPr>
      <w:r>
        <w:rPr>
          <w:noProof/>
        </w:rPr>
        <w:lastRenderedPageBreak/>
        <w:drawing>
          <wp:anchor distT="0" distB="0" distL="114300" distR="114300" simplePos="0" relativeHeight="251667456" behindDoc="0" locked="0" layoutInCell="1" allowOverlap="0" wp14:anchorId="7D4E4215" wp14:editId="3E4A2514">
            <wp:simplePos x="0" y="0"/>
            <wp:positionH relativeFrom="page">
              <wp:align>left</wp:align>
            </wp:positionH>
            <wp:positionV relativeFrom="page">
              <wp:posOffset>1579880</wp:posOffset>
            </wp:positionV>
            <wp:extent cx="10688955" cy="7559040"/>
            <wp:effectExtent l="2858" t="16192" r="952" b="953"/>
            <wp:wrapTopAndBottom/>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3"/>
                    <a:stretch>
                      <a:fillRect/>
                    </a:stretch>
                  </pic:blipFill>
                  <pic:spPr>
                    <a:xfrm rot="-5399998">
                      <a:off x="0" y="0"/>
                      <a:ext cx="10688955" cy="7559040"/>
                    </a:xfrm>
                    <a:prstGeom prst="rect">
                      <a:avLst/>
                    </a:prstGeom>
                  </pic:spPr>
                </pic:pic>
              </a:graphicData>
            </a:graphic>
          </wp:anchor>
        </w:drawing>
      </w:r>
      <w:bookmarkStart w:id="0" w:name="_GoBack"/>
      <w:bookmarkEnd w:id="0"/>
    </w:p>
    <w:sectPr w:rsidR="008A7990" w:rsidRPr="008A7990"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5"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3"/>
  </w:num>
  <w:num w:numId="3">
    <w:abstractNumId w:val="11"/>
  </w:num>
  <w:num w:numId="4">
    <w:abstractNumId w:val="1"/>
  </w:num>
  <w:num w:numId="5">
    <w:abstractNumId w:val="14"/>
  </w:num>
  <w:num w:numId="6">
    <w:abstractNumId w:val="17"/>
  </w:num>
  <w:num w:numId="7">
    <w:abstractNumId w:val="0"/>
  </w:num>
  <w:num w:numId="8">
    <w:abstractNumId w:val="5"/>
  </w:num>
  <w:num w:numId="9">
    <w:abstractNumId w:val="2"/>
  </w:num>
  <w:num w:numId="10">
    <w:abstractNumId w:val="15"/>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43426"/>
    <w:rsid w:val="0008709A"/>
    <w:rsid w:val="000E4F05"/>
    <w:rsid w:val="000F29E7"/>
    <w:rsid w:val="00112AD6"/>
    <w:rsid w:val="00135186"/>
    <w:rsid w:val="00146020"/>
    <w:rsid w:val="00181DFD"/>
    <w:rsid w:val="001942B9"/>
    <w:rsid w:val="001F6B97"/>
    <w:rsid w:val="00285611"/>
    <w:rsid w:val="0029540F"/>
    <w:rsid w:val="002B13E9"/>
    <w:rsid w:val="002E2F0D"/>
    <w:rsid w:val="00325804"/>
    <w:rsid w:val="003C37AD"/>
    <w:rsid w:val="003F3FBE"/>
    <w:rsid w:val="0040399D"/>
    <w:rsid w:val="0041143A"/>
    <w:rsid w:val="004136D3"/>
    <w:rsid w:val="00420861"/>
    <w:rsid w:val="004727C6"/>
    <w:rsid w:val="00475016"/>
    <w:rsid w:val="004C5930"/>
    <w:rsid w:val="004D3C10"/>
    <w:rsid w:val="004F5F28"/>
    <w:rsid w:val="00501CB0"/>
    <w:rsid w:val="00561A4D"/>
    <w:rsid w:val="00574C38"/>
    <w:rsid w:val="00586656"/>
    <w:rsid w:val="006167AA"/>
    <w:rsid w:val="006B6C28"/>
    <w:rsid w:val="006B6EA6"/>
    <w:rsid w:val="006F1423"/>
    <w:rsid w:val="006F49CB"/>
    <w:rsid w:val="006F5FE4"/>
    <w:rsid w:val="007126E1"/>
    <w:rsid w:val="007A16F7"/>
    <w:rsid w:val="007E446D"/>
    <w:rsid w:val="007E5E79"/>
    <w:rsid w:val="00800827"/>
    <w:rsid w:val="00864880"/>
    <w:rsid w:val="008820D6"/>
    <w:rsid w:val="008A2385"/>
    <w:rsid w:val="008A7990"/>
    <w:rsid w:val="008C2A8C"/>
    <w:rsid w:val="009050F6"/>
    <w:rsid w:val="00912AF8"/>
    <w:rsid w:val="00930E4B"/>
    <w:rsid w:val="00947C88"/>
    <w:rsid w:val="00963D2C"/>
    <w:rsid w:val="0099462F"/>
    <w:rsid w:val="00A15E04"/>
    <w:rsid w:val="00AF3AD2"/>
    <w:rsid w:val="00B71DCD"/>
    <w:rsid w:val="00B926BD"/>
    <w:rsid w:val="00B96589"/>
    <w:rsid w:val="00BB4C26"/>
    <w:rsid w:val="00C106D5"/>
    <w:rsid w:val="00C34DF7"/>
    <w:rsid w:val="00C53A7F"/>
    <w:rsid w:val="00CE1327"/>
    <w:rsid w:val="00CF4295"/>
    <w:rsid w:val="00D96021"/>
    <w:rsid w:val="00DD3080"/>
    <w:rsid w:val="00E17D01"/>
    <w:rsid w:val="00E425B1"/>
    <w:rsid w:val="00E52CA6"/>
    <w:rsid w:val="00E74104"/>
    <w:rsid w:val="00E86113"/>
    <w:rsid w:val="00F111C7"/>
    <w:rsid w:val="00F23EB8"/>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592</Words>
  <Characters>4113</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4696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Praktikant.Ell</cp:lastModifiedBy>
  <cp:revision>7</cp:revision>
  <cp:lastPrinted>2016-09-08T08:26:00Z</cp:lastPrinted>
  <dcterms:created xsi:type="dcterms:W3CDTF">2016-09-08T08:00:00Z</dcterms:created>
  <dcterms:modified xsi:type="dcterms:W3CDTF">2016-09-15T12:48:00Z</dcterms:modified>
</cp:coreProperties>
</file>